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7371" w14:textId="77777777" w:rsidR="00717AF0" w:rsidRDefault="00717AF0" w:rsidP="00717AF0">
      <w:pPr>
        <w:spacing w:before="240" w:after="360"/>
        <w:rPr>
          <w:b/>
          <w:bCs/>
          <w:sz w:val="22"/>
          <w:szCs w:val="22"/>
        </w:rPr>
      </w:pPr>
    </w:p>
    <w:p w14:paraId="0084EF46" w14:textId="5D95A83D" w:rsidR="00C46677" w:rsidRDefault="00C46677" w:rsidP="00C46677">
      <w:pPr>
        <w:spacing w:before="240" w:after="360"/>
        <w:jc w:val="center"/>
        <w:rPr>
          <w:b/>
          <w:bCs/>
          <w:sz w:val="22"/>
          <w:szCs w:val="22"/>
        </w:rPr>
      </w:pPr>
      <w:r w:rsidRPr="00D14F0E">
        <w:rPr>
          <w:b/>
          <w:bCs/>
          <w:sz w:val="22"/>
          <w:szCs w:val="22"/>
        </w:rPr>
        <w:t>Bogota COVID-19 Pillar 1</w:t>
      </w:r>
      <w:r>
        <w:rPr>
          <w:b/>
          <w:bCs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916"/>
        <w:gridCol w:w="3149"/>
        <w:gridCol w:w="2260"/>
      </w:tblGrid>
      <w:tr w:rsidR="00C46677" w:rsidRPr="00FB2517" w14:paraId="30388BCF" w14:textId="77777777" w:rsidTr="00C830DC">
        <w:tc>
          <w:tcPr>
            <w:tcW w:w="0" w:type="auto"/>
            <w:gridSpan w:val="4"/>
            <w:shd w:val="clear" w:color="auto" w:fill="FFFFFF" w:themeFill="background1"/>
          </w:tcPr>
          <w:p w14:paraId="60C63DAA" w14:textId="22F308F5" w:rsidR="00C46677" w:rsidRPr="00FB2517" w:rsidRDefault="00C46677" w:rsidP="00C830DC">
            <w:pPr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Environmental and Social Action Plan (ESAP)</w:t>
            </w:r>
          </w:p>
        </w:tc>
      </w:tr>
      <w:tr w:rsidR="007820D4" w:rsidRPr="00FB2517" w14:paraId="0FF3BC5A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643DCBC0" w14:textId="77777777" w:rsidR="00C46677" w:rsidRPr="00FB2517" w:rsidRDefault="00C46677" w:rsidP="00C830DC">
            <w:pPr>
              <w:jc w:val="center"/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6916" w:type="dxa"/>
            <w:shd w:val="clear" w:color="auto" w:fill="D9D9D9" w:themeFill="background1" w:themeFillShade="D9"/>
          </w:tcPr>
          <w:p w14:paraId="31BE5E84" w14:textId="77777777" w:rsidR="00C46677" w:rsidRPr="00FB2517" w:rsidRDefault="00C46677" w:rsidP="00C830DC">
            <w:pPr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3CB8A7" w14:textId="77777777" w:rsidR="00C46677" w:rsidRPr="00FB2517" w:rsidRDefault="00C46677" w:rsidP="00C830DC">
            <w:pPr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Deliverable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784E28C" w14:textId="29A966FD" w:rsidR="00C46677" w:rsidRPr="00FB2517" w:rsidRDefault="00C46677" w:rsidP="00C830DC">
            <w:pPr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Deadline</w:t>
            </w:r>
          </w:p>
        </w:tc>
      </w:tr>
      <w:tr w:rsidR="00C46677" w:rsidRPr="00FB2517" w14:paraId="31A334D7" w14:textId="77777777" w:rsidTr="00C46677">
        <w:tc>
          <w:tcPr>
            <w:tcW w:w="625" w:type="dxa"/>
            <w:shd w:val="clear" w:color="auto" w:fill="D9D9D9" w:themeFill="background1" w:themeFillShade="D9"/>
          </w:tcPr>
          <w:p w14:paraId="148D719C" w14:textId="77777777" w:rsidR="00C46677" w:rsidRPr="00FB2517" w:rsidRDefault="00C46677" w:rsidP="00C830D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5" w:type="dxa"/>
            <w:gridSpan w:val="3"/>
            <w:shd w:val="clear" w:color="auto" w:fill="B4C6E7" w:themeFill="accent1" w:themeFillTint="66"/>
          </w:tcPr>
          <w:p w14:paraId="114C27E5" w14:textId="77777777" w:rsidR="00C46677" w:rsidRPr="00FB2517" w:rsidRDefault="00C46677" w:rsidP="00C830DC">
            <w:pPr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Performance Standard 1: Environmental and Social Assessment and Management System</w:t>
            </w:r>
          </w:p>
        </w:tc>
      </w:tr>
      <w:tr w:rsidR="007820D4" w:rsidRPr="00FB2517" w14:paraId="1A1C0B43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231C4071" w14:textId="40E8D671" w:rsidR="00E26138" w:rsidRDefault="00E26138" w:rsidP="0046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16" w:type="dxa"/>
            <w:shd w:val="clear" w:color="auto" w:fill="FFFFFF" w:themeFill="background1"/>
          </w:tcPr>
          <w:p w14:paraId="0DE0FE41" w14:textId="033B3190" w:rsidR="00E26138" w:rsidRDefault="004F2B16" w:rsidP="0046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MIGA </w:t>
            </w:r>
            <w:r w:rsidR="00DB530F">
              <w:rPr>
                <w:sz w:val="20"/>
                <w:szCs w:val="20"/>
              </w:rPr>
              <w:t>with</w:t>
            </w:r>
            <w:r w:rsidR="00DB530F" w:rsidRPr="00DB530F">
              <w:rPr>
                <w:sz w:val="20"/>
                <w:szCs w:val="20"/>
              </w:rPr>
              <w:t xml:space="preserve"> </w:t>
            </w:r>
            <w:r w:rsidR="00234A93">
              <w:rPr>
                <w:sz w:val="20"/>
                <w:szCs w:val="20"/>
              </w:rPr>
              <w:t xml:space="preserve">a copy of the </w:t>
            </w:r>
            <w:r w:rsidR="00EB6202">
              <w:rPr>
                <w:sz w:val="20"/>
                <w:szCs w:val="20"/>
              </w:rPr>
              <w:t>template</w:t>
            </w:r>
            <w:r w:rsidR="00234A93">
              <w:rPr>
                <w:sz w:val="20"/>
                <w:szCs w:val="20"/>
              </w:rPr>
              <w:t xml:space="preserve"> contract </w:t>
            </w:r>
            <w:r w:rsidR="00DB530F" w:rsidRPr="00DB530F">
              <w:rPr>
                <w:sz w:val="20"/>
                <w:szCs w:val="20"/>
              </w:rPr>
              <w:t xml:space="preserve">with the end-users and/or sub-projects in compliance with </w:t>
            </w:r>
            <w:r w:rsidR="002A0DD0">
              <w:rPr>
                <w:sz w:val="20"/>
                <w:szCs w:val="20"/>
              </w:rPr>
              <w:t xml:space="preserve">the </w:t>
            </w:r>
            <w:r w:rsidR="002A0DD0" w:rsidRPr="00DB530F">
              <w:rPr>
                <w:sz w:val="20"/>
                <w:szCs w:val="20"/>
              </w:rPr>
              <w:t>P</w:t>
            </w:r>
            <w:r w:rsidR="002A0DD0">
              <w:rPr>
                <w:sz w:val="20"/>
                <w:szCs w:val="20"/>
              </w:rPr>
              <w:t xml:space="preserve">erformance </w:t>
            </w:r>
            <w:r w:rsidR="002A0DD0" w:rsidRPr="00DB530F">
              <w:rPr>
                <w:sz w:val="20"/>
                <w:szCs w:val="20"/>
              </w:rPr>
              <w:t>S</w:t>
            </w:r>
            <w:r w:rsidR="002A0DD0">
              <w:rPr>
                <w:sz w:val="20"/>
                <w:szCs w:val="20"/>
              </w:rPr>
              <w:t xml:space="preserve">tandards and </w:t>
            </w:r>
            <w:r w:rsidR="00DB530F" w:rsidRPr="00DB530F">
              <w:rPr>
                <w:sz w:val="20"/>
                <w:szCs w:val="20"/>
              </w:rPr>
              <w:t xml:space="preserve"> </w:t>
            </w:r>
            <w:r w:rsidR="0087458B">
              <w:rPr>
                <w:sz w:val="20"/>
                <w:szCs w:val="20"/>
              </w:rPr>
              <w:t>MIGA</w:t>
            </w:r>
            <w:r w:rsidR="0087458B" w:rsidRPr="00DB530F">
              <w:rPr>
                <w:sz w:val="20"/>
                <w:szCs w:val="20"/>
              </w:rPr>
              <w:t xml:space="preserve"> </w:t>
            </w:r>
            <w:r w:rsidR="00DB530F" w:rsidRPr="00DB530F">
              <w:rPr>
                <w:sz w:val="20"/>
                <w:szCs w:val="20"/>
              </w:rPr>
              <w:t xml:space="preserve">requirements  </w:t>
            </w:r>
          </w:p>
        </w:tc>
        <w:tc>
          <w:tcPr>
            <w:tcW w:w="0" w:type="auto"/>
          </w:tcPr>
          <w:p w14:paraId="0B86B6DE" w14:textId="3F739BBB" w:rsidR="00E26138" w:rsidRDefault="006F3A07" w:rsidP="0046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Copies of contracts</w:t>
            </w:r>
            <w:r w:rsidR="00DB530F">
              <w:rPr>
                <w:sz w:val="20"/>
                <w:szCs w:val="20"/>
              </w:rPr>
              <w:t>/agreements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787C601" w14:textId="77777777" w:rsidR="00E26138" w:rsidRDefault="00F64A93" w:rsidP="0046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6F3A07">
              <w:rPr>
                <w:sz w:val="20"/>
                <w:szCs w:val="20"/>
              </w:rPr>
              <w:t xml:space="preserve"> days after effective date of contract </w:t>
            </w:r>
            <w:r w:rsidR="007820D4">
              <w:rPr>
                <w:sz w:val="20"/>
                <w:szCs w:val="20"/>
              </w:rPr>
              <w:t xml:space="preserve">for existing contracts or contracts about to commence </w:t>
            </w:r>
          </w:p>
          <w:p w14:paraId="4AE9F157" w14:textId="77777777" w:rsidR="007820D4" w:rsidRDefault="007820D4" w:rsidP="0046467F">
            <w:pPr>
              <w:rPr>
                <w:sz w:val="20"/>
                <w:szCs w:val="20"/>
              </w:rPr>
            </w:pPr>
          </w:p>
          <w:p w14:paraId="4A221F6A" w14:textId="39CBD7B9" w:rsidR="007820D4" w:rsidRPr="009E13B5" w:rsidRDefault="007820D4" w:rsidP="00464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Thereafter </w:t>
            </w:r>
            <w:r w:rsidR="00E36492">
              <w:rPr>
                <w:sz w:val="20"/>
                <w:szCs w:val="20"/>
              </w:rPr>
              <w:t xml:space="preserve">30 days prior to any future contracts </w:t>
            </w:r>
          </w:p>
        </w:tc>
      </w:tr>
      <w:tr w:rsidR="007820D4" w:rsidRPr="00FB2517" w14:paraId="464BC2B2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188466EB" w14:textId="6379042C" w:rsidR="006F3A07" w:rsidRDefault="006F3A07" w:rsidP="004646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16" w:type="dxa"/>
            <w:shd w:val="clear" w:color="auto" w:fill="FFFFFF" w:themeFill="background1"/>
          </w:tcPr>
          <w:p w14:paraId="2A6CFFD1" w14:textId="7D8C4B71" w:rsidR="006F3A07" w:rsidRDefault="0067165F" w:rsidP="0046467F">
            <w:pPr>
              <w:rPr>
                <w:sz w:val="20"/>
                <w:szCs w:val="20"/>
              </w:rPr>
            </w:pPr>
            <w:r w:rsidRPr="0067165F">
              <w:rPr>
                <w:sz w:val="20"/>
                <w:szCs w:val="20"/>
              </w:rPr>
              <w:t xml:space="preserve">Update the Environment Management Policy to include social aspects, as well as commitments towards compliance with the MIGA Performance Standards (PSs) </w:t>
            </w:r>
            <w:r w:rsidRPr="0067165F">
              <w:rPr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329EC27A" w14:textId="1D47BC53" w:rsidR="006F3A07" w:rsidRDefault="0067165F" w:rsidP="0046467F">
            <w:pPr>
              <w:rPr>
                <w:sz w:val="20"/>
                <w:szCs w:val="20"/>
              </w:rPr>
            </w:pPr>
            <w:r w:rsidRPr="0067165F">
              <w:rPr>
                <w:sz w:val="20"/>
                <w:szCs w:val="20"/>
              </w:rPr>
              <w:t xml:space="preserve">Updated </w:t>
            </w:r>
            <w:r w:rsidR="001E5365">
              <w:rPr>
                <w:sz w:val="20"/>
                <w:szCs w:val="20"/>
              </w:rPr>
              <w:t>Environmental and Social (E&amp;S)</w:t>
            </w:r>
            <w:r w:rsidRPr="0067165F">
              <w:rPr>
                <w:sz w:val="20"/>
                <w:szCs w:val="20"/>
              </w:rPr>
              <w:t xml:space="preserve"> Management Policy</w:t>
            </w:r>
          </w:p>
        </w:tc>
        <w:tc>
          <w:tcPr>
            <w:tcW w:w="0" w:type="auto"/>
          </w:tcPr>
          <w:p w14:paraId="315EFF08" w14:textId="7D013ECA" w:rsidR="001E5365" w:rsidRDefault="001E5365" w:rsidP="0046467F">
            <w:pPr>
              <w:rPr>
                <w:sz w:val="20"/>
                <w:szCs w:val="20"/>
              </w:rPr>
            </w:pPr>
            <w:r w:rsidRPr="001E5365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 xml:space="preserve">E&amp;S Management </w:t>
            </w:r>
            <w:r w:rsidR="00810492">
              <w:rPr>
                <w:sz w:val="20"/>
                <w:szCs w:val="20"/>
              </w:rPr>
              <w:t>Policy</w:t>
            </w:r>
            <w:r w:rsidRPr="001E5365">
              <w:rPr>
                <w:sz w:val="20"/>
                <w:szCs w:val="20"/>
              </w:rPr>
              <w:t xml:space="preserve"> </w:t>
            </w:r>
            <w:r w:rsidR="000955BE">
              <w:rPr>
                <w:sz w:val="20"/>
                <w:szCs w:val="20"/>
              </w:rPr>
              <w:t>90</w:t>
            </w:r>
            <w:r w:rsidR="000955BE" w:rsidRPr="001E5365">
              <w:rPr>
                <w:sz w:val="20"/>
                <w:szCs w:val="20"/>
              </w:rPr>
              <w:t xml:space="preserve"> </w:t>
            </w:r>
            <w:r w:rsidRPr="001E5365">
              <w:rPr>
                <w:sz w:val="20"/>
                <w:szCs w:val="20"/>
              </w:rPr>
              <w:t xml:space="preserve">days after recruitment of </w:t>
            </w:r>
            <w:r w:rsidR="007814C7">
              <w:rPr>
                <w:sz w:val="20"/>
                <w:szCs w:val="20"/>
              </w:rPr>
              <w:t>an</w:t>
            </w:r>
            <w:r w:rsidR="00823CF3">
              <w:rPr>
                <w:sz w:val="20"/>
                <w:szCs w:val="20"/>
              </w:rPr>
              <w:t xml:space="preserve"> </w:t>
            </w:r>
            <w:r w:rsidR="00285120">
              <w:rPr>
                <w:sz w:val="20"/>
                <w:szCs w:val="20"/>
              </w:rPr>
              <w:t xml:space="preserve">Environmental and Social (E&amp;S) </w:t>
            </w:r>
            <w:r w:rsidRPr="001E5365">
              <w:rPr>
                <w:sz w:val="20"/>
                <w:szCs w:val="20"/>
              </w:rPr>
              <w:t xml:space="preserve"> Consultant</w:t>
            </w:r>
          </w:p>
          <w:p w14:paraId="69B334F5" w14:textId="6BDFD509" w:rsidR="00810492" w:rsidRDefault="00810492" w:rsidP="0046467F">
            <w:pPr>
              <w:rPr>
                <w:sz w:val="20"/>
                <w:szCs w:val="20"/>
              </w:rPr>
            </w:pPr>
          </w:p>
          <w:p w14:paraId="0F979C16" w14:textId="358138CC" w:rsidR="006F3A07" w:rsidRPr="009E13B5" w:rsidRDefault="00810492" w:rsidP="0046467F">
            <w:pPr>
              <w:rPr>
                <w:sz w:val="20"/>
                <w:szCs w:val="20"/>
              </w:rPr>
            </w:pPr>
            <w:r w:rsidRPr="00810492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E&amp;S Management Policy</w:t>
            </w:r>
            <w:r w:rsidRPr="00810492">
              <w:rPr>
                <w:sz w:val="20"/>
                <w:szCs w:val="20"/>
              </w:rPr>
              <w:t xml:space="preserve"> 30 days after draft</w:t>
            </w:r>
          </w:p>
        </w:tc>
      </w:tr>
      <w:tr w:rsidR="00A8012F" w:rsidRPr="00FB2517" w14:paraId="58039025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51FC0827" w14:textId="228248B4" w:rsidR="00FE4C02" w:rsidRPr="00FB2517" w:rsidRDefault="00C05D7B" w:rsidP="00C830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916" w:type="dxa"/>
            <w:shd w:val="clear" w:color="auto" w:fill="FFFFFF" w:themeFill="background1"/>
          </w:tcPr>
          <w:p w14:paraId="4CD1B295" w14:textId="1CD1C3FD" w:rsidR="00FE4C02" w:rsidRPr="00FB2517" w:rsidRDefault="00280B09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Engage an </w:t>
            </w:r>
            <w:r w:rsidR="00285120">
              <w:rPr>
                <w:sz w:val="20"/>
                <w:szCs w:val="20"/>
              </w:rPr>
              <w:t>E&amp;S</w:t>
            </w:r>
            <w:r>
              <w:rPr>
                <w:sz w:val="20"/>
                <w:szCs w:val="20"/>
              </w:rPr>
              <w:t xml:space="preserve"> Consultant to d</w:t>
            </w:r>
            <w:r w:rsidR="004D4CBD" w:rsidRPr="00FB2517">
              <w:rPr>
                <w:sz w:val="20"/>
                <w:szCs w:val="20"/>
              </w:rPr>
              <w:t>evelop and implement an Environmental and Social Management System (ESMS)</w:t>
            </w:r>
            <w:r w:rsidR="001B7ADD">
              <w:rPr>
                <w:sz w:val="20"/>
                <w:szCs w:val="20"/>
              </w:rPr>
              <w:t xml:space="preserve"> </w:t>
            </w:r>
            <w:r w:rsidR="004D4CBD" w:rsidRPr="00FB2517">
              <w:rPr>
                <w:sz w:val="20"/>
                <w:szCs w:val="20"/>
              </w:rPr>
              <w:t>in line with Performance Standard (PS) 1 requirements. The E</w:t>
            </w:r>
            <w:r w:rsidR="0051550A">
              <w:rPr>
                <w:sz w:val="20"/>
                <w:szCs w:val="20"/>
              </w:rPr>
              <w:t>S</w:t>
            </w:r>
            <w:r w:rsidR="004D4CBD" w:rsidRPr="00FB2517">
              <w:rPr>
                <w:sz w:val="20"/>
                <w:szCs w:val="20"/>
              </w:rPr>
              <w:t>MS will include the following elements: (i)</w:t>
            </w:r>
            <w:r w:rsidR="00E006DC">
              <w:rPr>
                <w:sz w:val="20"/>
                <w:szCs w:val="20"/>
              </w:rPr>
              <w:t>P</w:t>
            </w:r>
            <w:r w:rsidR="004D4CBD" w:rsidRPr="00FB2517">
              <w:rPr>
                <w:sz w:val="20"/>
                <w:szCs w:val="20"/>
              </w:rPr>
              <w:t>olicy; (ii) identification of</w:t>
            </w:r>
            <w:r w:rsidR="0051550A">
              <w:rPr>
                <w:sz w:val="20"/>
                <w:szCs w:val="20"/>
              </w:rPr>
              <w:t xml:space="preserve"> </w:t>
            </w:r>
            <w:r w:rsidR="004D4CBD" w:rsidRPr="00FB2517">
              <w:rPr>
                <w:sz w:val="20"/>
                <w:szCs w:val="20"/>
              </w:rPr>
              <w:t>risks and impacts; (iii)</w:t>
            </w:r>
            <w:r w:rsidR="0051550A">
              <w:rPr>
                <w:sz w:val="20"/>
                <w:szCs w:val="20"/>
              </w:rPr>
              <w:t xml:space="preserve"> </w:t>
            </w:r>
            <w:r w:rsidR="004D4CBD" w:rsidRPr="00FB2517">
              <w:rPr>
                <w:sz w:val="20"/>
                <w:szCs w:val="20"/>
              </w:rPr>
              <w:t>management programs;</w:t>
            </w:r>
            <w:r w:rsidR="0051550A">
              <w:rPr>
                <w:sz w:val="20"/>
                <w:szCs w:val="20"/>
              </w:rPr>
              <w:t xml:space="preserve"> </w:t>
            </w:r>
            <w:r w:rsidR="004D4CBD" w:rsidRPr="00FB2517">
              <w:rPr>
                <w:sz w:val="20"/>
                <w:szCs w:val="20"/>
              </w:rPr>
              <w:t>(iv) organizational capacity and competency; (v) emergency preparedness and response;(vi) stakeholder engagement; and (vii) monitoring</w:t>
            </w:r>
            <w:r w:rsidR="007552F3" w:rsidRPr="00FB2517">
              <w:rPr>
                <w:sz w:val="20"/>
                <w:szCs w:val="20"/>
              </w:rPr>
              <w:t>, measurement</w:t>
            </w:r>
            <w:r w:rsidR="004D4CBD" w:rsidRPr="00FB2517">
              <w:rPr>
                <w:sz w:val="20"/>
                <w:szCs w:val="20"/>
              </w:rPr>
              <w:t xml:space="preserve"> and review. The ESMS will also include a COVID-19 Risk Management Plan.</w:t>
            </w:r>
          </w:p>
        </w:tc>
        <w:tc>
          <w:tcPr>
            <w:tcW w:w="0" w:type="auto"/>
          </w:tcPr>
          <w:p w14:paraId="20A49D43" w14:textId="0A5D658E" w:rsidR="00547D88" w:rsidRDefault="00547D88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Terms of Reference/Job Description and signed letter of appointment </w:t>
            </w:r>
          </w:p>
          <w:p w14:paraId="216831C9" w14:textId="77777777" w:rsidR="00547D88" w:rsidRDefault="00547D88" w:rsidP="00C830DC">
            <w:pPr>
              <w:rPr>
                <w:sz w:val="20"/>
                <w:szCs w:val="20"/>
              </w:rPr>
            </w:pPr>
          </w:p>
          <w:p w14:paraId="5E9B8916" w14:textId="77777777" w:rsidR="004D72C2" w:rsidRDefault="004D72C2" w:rsidP="00C830DC">
            <w:pPr>
              <w:rPr>
                <w:sz w:val="20"/>
                <w:szCs w:val="20"/>
              </w:rPr>
            </w:pPr>
          </w:p>
          <w:p w14:paraId="2D778941" w14:textId="77777777" w:rsidR="004D72C2" w:rsidRDefault="004D72C2" w:rsidP="00C830DC">
            <w:pPr>
              <w:rPr>
                <w:sz w:val="20"/>
                <w:szCs w:val="20"/>
              </w:rPr>
            </w:pPr>
          </w:p>
          <w:p w14:paraId="51A54EB8" w14:textId="77777777" w:rsidR="008925CD" w:rsidRDefault="008925CD" w:rsidP="00C830DC">
            <w:pPr>
              <w:rPr>
                <w:sz w:val="20"/>
                <w:szCs w:val="20"/>
              </w:rPr>
            </w:pPr>
          </w:p>
          <w:p w14:paraId="0E117791" w14:textId="22DE9FCD" w:rsidR="00547D88" w:rsidRDefault="00CE5152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ESMS</w:t>
            </w:r>
          </w:p>
          <w:p w14:paraId="4CC4CB7A" w14:textId="77777777" w:rsidR="00547D88" w:rsidRDefault="00547D88" w:rsidP="00C830DC">
            <w:pPr>
              <w:rPr>
                <w:sz w:val="20"/>
                <w:szCs w:val="20"/>
              </w:rPr>
            </w:pPr>
          </w:p>
          <w:p w14:paraId="1A3CA69C" w14:textId="77777777" w:rsidR="00547D88" w:rsidRDefault="00547D88" w:rsidP="00C830DC">
            <w:pPr>
              <w:rPr>
                <w:sz w:val="20"/>
                <w:szCs w:val="20"/>
              </w:rPr>
            </w:pPr>
          </w:p>
          <w:p w14:paraId="0CB3D915" w14:textId="77777777" w:rsidR="00547D88" w:rsidRDefault="00547D88" w:rsidP="00C830DC">
            <w:pPr>
              <w:rPr>
                <w:sz w:val="20"/>
                <w:szCs w:val="20"/>
              </w:rPr>
            </w:pPr>
          </w:p>
          <w:p w14:paraId="73617D3C" w14:textId="77777777" w:rsidR="00547D88" w:rsidRDefault="00547D88" w:rsidP="00C830DC">
            <w:pPr>
              <w:rPr>
                <w:sz w:val="20"/>
                <w:szCs w:val="20"/>
              </w:rPr>
            </w:pPr>
          </w:p>
          <w:p w14:paraId="58E9706C" w14:textId="77777777" w:rsidR="00074BBB" w:rsidRDefault="00074BBB" w:rsidP="00C830DC">
            <w:pPr>
              <w:rPr>
                <w:sz w:val="20"/>
                <w:szCs w:val="20"/>
              </w:rPr>
            </w:pPr>
          </w:p>
          <w:p w14:paraId="23BCE5FB" w14:textId="65E68E2E" w:rsidR="00FE4C02" w:rsidRPr="00FB2517" w:rsidRDefault="00CE5152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r w:rsidR="006A42D5" w:rsidRPr="00FB2517">
              <w:rPr>
                <w:sz w:val="20"/>
                <w:szCs w:val="20"/>
              </w:rPr>
              <w:t>ESMS</w:t>
            </w:r>
            <w:r w:rsidR="00A23114" w:rsidRPr="00FB2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843F7A6" w14:textId="2A92BC45" w:rsidR="00547D88" w:rsidRDefault="00547D88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Recruit an E&amp;S </w:t>
            </w:r>
            <w:r w:rsidR="00074BBB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onsultant 90 days after effective date of contract of guarantee</w:t>
            </w:r>
          </w:p>
          <w:p w14:paraId="00F907AB" w14:textId="6CA7EC4E" w:rsidR="00547D88" w:rsidRDefault="00547D88" w:rsidP="00C830DC">
            <w:pPr>
              <w:rPr>
                <w:sz w:val="20"/>
                <w:szCs w:val="20"/>
              </w:rPr>
            </w:pPr>
          </w:p>
          <w:p w14:paraId="16C674C5" w14:textId="77777777" w:rsidR="0051550A" w:rsidRDefault="0051550A" w:rsidP="00C830DC">
            <w:pPr>
              <w:rPr>
                <w:sz w:val="20"/>
                <w:szCs w:val="20"/>
              </w:rPr>
            </w:pPr>
          </w:p>
          <w:p w14:paraId="31080CE2" w14:textId="77777777" w:rsidR="0051550A" w:rsidRDefault="0051550A" w:rsidP="00C830DC">
            <w:pPr>
              <w:rPr>
                <w:sz w:val="20"/>
                <w:szCs w:val="20"/>
              </w:rPr>
            </w:pPr>
          </w:p>
          <w:p w14:paraId="4F1C324F" w14:textId="77777777" w:rsidR="008925CD" w:rsidRDefault="008925CD" w:rsidP="00C830DC">
            <w:pPr>
              <w:rPr>
                <w:sz w:val="20"/>
                <w:szCs w:val="20"/>
              </w:rPr>
            </w:pPr>
          </w:p>
          <w:p w14:paraId="01216D98" w14:textId="33D2C36B" w:rsidR="00547D88" w:rsidRDefault="00547D88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ESMS </w:t>
            </w:r>
            <w:r w:rsidR="00666EC2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 xml:space="preserve">days after recruitment of E&amp;S Consultant </w:t>
            </w:r>
          </w:p>
          <w:p w14:paraId="56F2010A" w14:textId="1D1EC9F5" w:rsidR="00547D88" w:rsidRDefault="00547D88" w:rsidP="00C830DC">
            <w:pPr>
              <w:rPr>
                <w:sz w:val="20"/>
                <w:szCs w:val="20"/>
              </w:rPr>
            </w:pPr>
          </w:p>
          <w:p w14:paraId="4869FDAD" w14:textId="77777777" w:rsidR="00547D88" w:rsidRDefault="00547D88" w:rsidP="00C830DC">
            <w:pPr>
              <w:rPr>
                <w:sz w:val="20"/>
                <w:szCs w:val="20"/>
              </w:rPr>
            </w:pPr>
          </w:p>
          <w:p w14:paraId="20CF9E95" w14:textId="354E9609" w:rsidR="00FE4C02" w:rsidRPr="00FB2517" w:rsidRDefault="00547D88" w:rsidP="00C830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ESMS 30 days after ESMS draft </w:t>
            </w:r>
          </w:p>
        </w:tc>
      </w:tr>
      <w:tr w:rsidR="00A8012F" w:rsidRPr="00FB2517" w14:paraId="58204359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4279C30E" w14:textId="7B2BF4EF" w:rsidR="003A431E" w:rsidRPr="00FB2517" w:rsidRDefault="00524DCD" w:rsidP="003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6916" w:type="dxa"/>
            <w:shd w:val="clear" w:color="auto" w:fill="FFFFFF" w:themeFill="background1"/>
          </w:tcPr>
          <w:p w14:paraId="543CB77E" w14:textId="78235E29" w:rsidR="003A431E" w:rsidRPr="00FB2517" w:rsidRDefault="003A431E" w:rsidP="003A431E">
            <w:pPr>
              <w:rPr>
                <w:sz w:val="20"/>
                <w:szCs w:val="20"/>
              </w:rPr>
            </w:pPr>
            <w:r w:rsidRPr="00FB2517">
              <w:rPr>
                <w:iCs/>
                <w:noProof/>
                <w:sz w:val="20"/>
                <w:szCs w:val="20"/>
              </w:rPr>
              <w:t xml:space="preserve">Designate a senior official within the </w:t>
            </w:r>
            <w:r w:rsidR="005B062F" w:rsidRPr="00FB2517">
              <w:rPr>
                <w:i/>
                <w:noProof/>
                <w:sz w:val="20"/>
                <w:szCs w:val="20"/>
              </w:rPr>
              <w:t>Secretaria Distrial de Salud</w:t>
            </w:r>
            <w:r w:rsidR="005B062F" w:rsidRPr="00FB2517">
              <w:rPr>
                <w:iCs/>
                <w:noProof/>
                <w:sz w:val="20"/>
                <w:szCs w:val="20"/>
              </w:rPr>
              <w:t xml:space="preserve"> </w:t>
            </w:r>
            <w:r w:rsidRPr="00FB2517">
              <w:rPr>
                <w:iCs/>
                <w:noProof/>
                <w:sz w:val="20"/>
                <w:szCs w:val="20"/>
              </w:rPr>
              <w:t xml:space="preserve">with overall responsibility for ensuring and reporting on compliance with </w:t>
            </w:r>
            <w:r w:rsidR="00641037" w:rsidRPr="00FB2517">
              <w:rPr>
                <w:iCs/>
                <w:noProof/>
                <w:sz w:val="20"/>
                <w:szCs w:val="20"/>
              </w:rPr>
              <w:t xml:space="preserve">MIGA’s PSs, ESMS development and implementation of the agreed </w:t>
            </w:r>
            <w:r w:rsidR="008E4B76">
              <w:rPr>
                <w:iCs/>
                <w:noProof/>
                <w:sz w:val="20"/>
                <w:szCs w:val="20"/>
              </w:rPr>
              <w:t>Environemntal and Social Action Plan (</w:t>
            </w:r>
            <w:r w:rsidR="00641037" w:rsidRPr="00FB2517">
              <w:rPr>
                <w:iCs/>
                <w:noProof/>
                <w:sz w:val="20"/>
                <w:szCs w:val="20"/>
              </w:rPr>
              <w:t>ESAP</w:t>
            </w:r>
            <w:r w:rsidR="008E4B76">
              <w:rPr>
                <w:iCs/>
                <w:noProof/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14:paraId="38583A96" w14:textId="474BB04D" w:rsidR="003A431E" w:rsidRPr="00FB2517" w:rsidRDefault="003A431E" w:rsidP="003A431E">
            <w:pPr>
              <w:rPr>
                <w:noProof/>
                <w:sz w:val="20"/>
                <w:szCs w:val="20"/>
              </w:rPr>
            </w:pPr>
            <w:r w:rsidRPr="00FB2517">
              <w:rPr>
                <w:noProof/>
                <w:sz w:val="20"/>
                <w:szCs w:val="20"/>
              </w:rPr>
              <w:t>Terms of Reference</w:t>
            </w:r>
            <w:r w:rsidR="008E4B76">
              <w:rPr>
                <w:noProof/>
                <w:sz w:val="20"/>
                <w:szCs w:val="20"/>
              </w:rPr>
              <w:t xml:space="preserve"> (ToR)</w:t>
            </w:r>
            <w:r w:rsidRPr="00FB2517">
              <w:rPr>
                <w:noProof/>
                <w:sz w:val="20"/>
                <w:szCs w:val="20"/>
              </w:rPr>
              <w:t xml:space="preserve">/ Job Description </w:t>
            </w:r>
            <w:r w:rsidR="008E4B76">
              <w:rPr>
                <w:noProof/>
                <w:sz w:val="20"/>
                <w:szCs w:val="20"/>
              </w:rPr>
              <w:t xml:space="preserve">(JD) </w:t>
            </w:r>
            <w:r w:rsidRPr="00FB2517">
              <w:rPr>
                <w:noProof/>
                <w:sz w:val="20"/>
                <w:szCs w:val="20"/>
              </w:rPr>
              <w:t>and signed letter of appointment</w:t>
            </w:r>
          </w:p>
        </w:tc>
        <w:tc>
          <w:tcPr>
            <w:tcW w:w="0" w:type="auto"/>
          </w:tcPr>
          <w:p w14:paraId="2BCC4FDB" w14:textId="3A632A10" w:rsidR="003A431E" w:rsidRPr="00FB2517" w:rsidRDefault="007272C1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Condition Precedent </w:t>
            </w:r>
          </w:p>
        </w:tc>
      </w:tr>
      <w:tr w:rsidR="00827789" w:rsidRPr="00FB2517" w14:paraId="11AC306A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23A75C14" w14:textId="15CA0038" w:rsidR="00827789" w:rsidRDefault="00827789" w:rsidP="00827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16" w:type="dxa"/>
            <w:shd w:val="clear" w:color="auto" w:fill="FFFFFF" w:themeFill="background1"/>
          </w:tcPr>
          <w:p w14:paraId="48706EFC" w14:textId="77777777" w:rsidR="00827789" w:rsidRDefault="00827789" w:rsidP="0082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E&amp;S training and capacity building materials for the </w:t>
            </w:r>
            <w:r w:rsidRPr="00DC27B8">
              <w:rPr>
                <w:sz w:val="20"/>
                <w:szCs w:val="20"/>
              </w:rPr>
              <w:t xml:space="preserve">management of E&amp;S risks and impacts </w:t>
            </w:r>
          </w:p>
          <w:p w14:paraId="1C5E859A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7138266E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122740BA" w14:textId="77777777" w:rsidR="00827789" w:rsidRDefault="00827789" w:rsidP="0082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</w:t>
            </w:r>
            <w:r w:rsidRPr="003D3DCE">
              <w:rPr>
                <w:sz w:val="20"/>
                <w:szCs w:val="20"/>
              </w:rPr>
              <w:t>&amp;S training and capacity building</w:t>
            </w:r>
            <w:r>
              <w:rPr>
                <w:sz w:val="20"/>
                <w:szCs w:val="20"/>
              </w:rPr>
              <w:t xml:space="preserve"> to the relevant </w:t>
            </w:r>
            <w:proofErr w:type="spellStart"/>
            <w:r>
              <w:rPr>
                <w:sz w:val="20"/>
                <w:szCs w:val="20"/>
              </w:rPr>
              <w:t>SDS</w:t>
            </w:r>
            <w:proofErr w:type="spellEnd"/>
            <w:r>
              <w:rPr>
                <w:sz w:val="20"/>
                <w:szCs w:val="20"/>
              </w:rPr>
              <w:t xml:space="preserve"> staff </w:t>
            </w:r>
          </w:p>
          <w:p w14:paraId="06EACF4E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66843A76" w14:textId="77777777" w:rsidR="00827789" w:rsidRPr="00FB2517" w:rsidRDefault="00827789" w:rsidP="00827789">
            <w:pPr>
              <w:rPr>
                <w:i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91F8B7F" w14:textId="77777777" w:rsidR="00827789" w:rsidRDefault="00827789" w:rsidP="0082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E&amp;S training materials</w:t>
            </w:r>
          </w:p>
          <w:p w14:paraId="4A376EC3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4BA110C5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7D0D3EEA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79C3C0D7" w14:textId="00337FB0" w:rsidR="00827789" w:rsidRPr="00FB2517" w:rsidRDefault="00827789" w:rsidP="00827789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E&amp;S training records  </w:t>
            </w:r>
          </w:p>
        </w:tc>
        <w:tc>
          <w:tcPr>
            <w:tcW w:w="0" w:type="auto"/>
          </w:tcPr>
          <w:p w14:paraId="52B62CF9" w14:textId="77777777" w:rsidR="00827789" w:rsidRDefault="00827789" w:rsidP="0082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E&amp;S training materials </w:t>
            </w:r>
            <w:r w:rsidRPr="001E53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Pr="001E5365">
              <w:rPr>
                <w:sz w:val="20"/>
                <w:szCs w:val="20"/>
              </w:rPr>
              <w:t xml:space="preserve"> days after recruitment of </w:t>
            </w:r>
            <w:r>
              <w:rPr>
                <w:sz w:val="20"/>
                <w:szCs w:val="20"/>
              </w:rPr>
              <w:t xml:space="preserve">an </w:t>
            </w:r>
            <w:r w:rsidRPr="001E5365">
              <w:rPr>
                <w:sz w:val="20"/>
                <w:szCs w:val="20"/>
              </w:rPr>
              <w:t>E&amp;S Consultant</w:t>
            </w:r>
          </w:p>
          <w:p w14:paraId="31E8227A" w14:textId="77777777" w:rsidR="00827789" w:rsidRDefault="00827789" w:rsidP="00827789">
            <w:pPr>
              <w:rPr>
                <w:sz w:val="20"/>
                <w:szCs w:val="20"/>
              </w:rPr>
            </w:pPr>
          </w:p>
          <w:p w14:paraId="65CA0199" w14:textId="317F7844" w:rsidR="00827789" w:rsidRDefault="00827789" w:rsidP="00827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E&amp;S training records 30 days after development of training materials </w:t>
            </w:r>
          </w:p>
        </w:tc>
      </w:tr>
      <w:tr w:rsidR="00A8012F" w:rsidRPr="00FB2517" w14:paraId="7D3AB2DB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5D2EDBDE" w14:textId="0598CD4F" w:rsidR="004C77F2" w:rsidRPr="00FB2517" w:rsidRDefault="00827789" w:rsidP="004C77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916" w:type="dxa"/>
            <w:shd w:val="clear" w:color="auto" w:fill="FFFFFF" w:themeFill="background1"/>
          </w:tcPr>
          <w:p w14:paraId="69B5C397" w14:textId="19F18315" w:rsidR="004C77F2" w:rsidRPr="00FB2517" w:rsidRDefault="004C77F2" w:rsidP="004C77F2">
            <w:pPr>
              <w:rPr>
                <w:sz w:val="20"/>
                <w:szCs w:val="20"/>
              </w:rPr>
            </w:pPr>
            <w:r w:rsidRPr="00FB2517">
              <w:rPr>
                <w:sz w:val="20"/>
                <w:szCs w:val="20"/>
              </w:rPr>
              <w:t>Hire a suitably qualified life and fire safety (</w:t>
            </w:r>
            <w:proofErr w:type="spellStart"/>
            <w:r w:rsidRPr="00FB2517">
              <w:rPr>
                <w:sz w:val="20"/>
                <w:szCs w:val="20"/>
              </w:rPr>
              <w:t>L&amp;FS</w:t>
            </w:r>
            <w:proofErr w:type="spellEnd"/>
            <w:r w:rsidRPr="00FB2517">
              <w:rPr>
                <w:sz w:val="20"/>
                <w:szCs w:val="20"/>
              </w:rPr>
              <w:t xml:space="preserve">) professional to develop and implement a </w:t>
            </w:r>
            <w:proofErr w:type="spellStart"/>
            <w:r w:rsidRPr="00FB2517">
              <w:rPr>
                <w:sz w:val="20"/>
                <w:szCs w:val="20"/>
              </w:rPr>
              <w:t>L&amp;FS</w:t>
            </w:r>
            <w:proofErr w:type="spellEnd"/>
            <w:r w:rsidRPr="00FB2517">
              <w:rPr>
                <w:sz w:val="20"/>
                <w:szCs w:val="20"/>
              </w:rPr>
              <w:t xml:space="preserve"> Plan for the expansion and upgrade of existing hospitals</w:t>
            </w:r>
            <w:r w:rsidR="00463D18" w:rsidRPr="00FB2517">
              <w:t xml:space="preserve"> </w:t>
            </w:r>
          </w:p>
        </w:tc>
        <w:tc>
          <w:tcPr>
            <w:tcW w:w="0" w:type="auto"/>
          </w:tcPr>
          <w:p w14:paraId="2593E0D8" w14:textId="075F0FD3" w:rsidR="004C77F2" w:rsidRPr="00FB2517" w:rsidRDefault="008E4B76" w:rsidP="004C77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ToR</w:t>
            </w:r>
            <w:r w:rsidR="004C77F2" w:rsidRPr="00FB2517">
              <w:rPr>
                <w:noProof/>
                <w:sz w:val="20"/>
                <w:szCs w:val="20"/>
              </w:rPr>
              <w:t>/</w:t>
            </w:r>
            <w:r>
              <w:rPr>
                <w:noProof/>
                <w:sz w:val="20"/>
                <w:szCs w:val="20"/>
              </w:rPr>
              <w:t xml:space="preserve">JD </w:t>
            </w:r>
            <w:r w:rsidR="004C77F2" w:rsidRPr="00FB2517">
              <w:rPr>
                <w:noProof/>
                <w:sz w:val="20"/>
                <w:szCs w:val="20"/>
              </w:rPr>
              <w:t>and signed letter of appointment</w:t>
            </w:r>
          </w:p>
          <w:p w14:paraId="2BC14277" w14:textId="301FA5B3" w:rsidR="00272A40" w:rsidRPr="00FB2517" w:rsidRDefault="00272A40" w:rsidP="004C77F2">
            <w:pPr>
              <w:rPr>
                <w:noProof/>
                <w:sz w:val="20"/>
                <w:szCs w:val="20"/>
              </w:rPr>
            </w:pPr>
          </w:p>
          <w:p w14:paraId="46DEFDCA" w14:textId="77777777" w:rsidR="00547893" w:rsidRDefault="00547893" w:rsidP="004C77F2">
            <w:pPr>
              <w:rPr>
                <w:noProof/>
                <w:sz w:val="20"/>
                <w:szCs w:val="20"/>
              </w:rPr>
            </w:pPr>
          </w:p>
          <w:p w14:paraId="6B64EB4A" w14:textId="77777777" w:rsidR="00547893" w:rsidRDefault="00547893" w:rsidP="004C77F2">
            <w:pPr>
              <w:rPr>
                <w:noProof/>
                <w:sz w:val="20"/>
                <w:szCs w:val="20"/>
              </w:rPr>
            </w:pPr>
          </w:p>
          <w:p w14:paraId="49248F08" w14:textId="5382F48F" w:rsidR="00272A40" w:rsidRPr="00FB2517" w:rsidRDefault="005876BB" w:rsidP="004C77F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Draft </w:t>
            </w:r>
            <w:r w:rsidR="00272A40" w:rsidRPr="00FB2517">
              <w:rPr>
                <w:noProof/>
                <w:sz w:val="20"/>
                <w:szCs w:val="20"/>
              </w:rPr>
              <w:t xml:space="preserve">L&amp;FS </w:t>
            </w:r>
            <w:r w:rsidR="00411810">
              <w:rPr>
                <w:noProof/>
                <w:sz w:val="20"/>
                <w:szCs w:val="20"/>
              </w:rPr>
              <w:t>P</w:t>
            </w:r>
            <w:r w:rsidR="00272A40" w:rsidRPr="00FB2517">
              <w:rPr>
                <w:noProof/>
                <w:sz w:val="20"/>
                <w:szCs w:val="20"/>
              </w:rPr>
              <w:t xml:space="preserve">lan </w:t>
            </w:r>
          </w:p>
          <w:p w14:paraId="21F68B00" w14:textId="77777777" w:rsidR="004C77F2" w:rsidRDefault="004C77F2" w:rsidP="004C77F2">
            <w:pPr>
              <w:rPr>
                <w:sz w:val="20"/>
                <w:szCs w:val="20"/>
              </w:rPr>
            </w:pPr>
          </w:p>
          <w:p w14:paraId="35A5A250" w14:textId="77777777" w:rsidR="008E4B76" w:rsidRDefault="008E4B76" w:rsidP="004C77F2">
            <w:pPr>
              <w:rPr>
                <w:sz w:val="20"/>
                <w:szCs w:val="20"/>
              </w:rPr>
            </w:pPr>
          </w:p>
          <w:p w14:paraId="66469A9E" w14:textId="4B66CE46" w:rsidR="008E4B76" w:rsidRDefault="008E4B76" w:rsidP="004C77F2">
            <w:pPr>
              <w:rPr>
                <w:sz w:val="20"/>
                <w:szCs w:val="20"/>
              </w:rPr>
            </w:pPr>
          </w:p>
          <w:p w14:paraId="7FA86D23" w14:textId="5B8B5A1E" w:rsidR="008E4B76" w:rsidRDefault="008E4B76" w:rsidP="004C7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L&amp;FS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1181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lan </w:t>
            </w:r>
          </w:p>
          <w:p w14:paraId="7D1D5FED" w14:textId="3DA68A19" w:rsidR="008E4B76" w:rsidRPr="00FB2517" w:rsidRDefault="008E4B76" w:rsidP="004C77F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D3DCF7" w14:textId="0CD76FBF" w:rsidR="00272A40" w:rsidRPr="00FB2517" w:rsidRDefault="00547893" w:rsidP="004C77F2">
            <w:pPr>
              <w:rPr>
                <w:sz w:val="20"/>
                <w:szCs w:val="20"/>
              </w:rPr>
            </w:pPr>
            <w:r w:rsidRPr="00547893">
              <w:rPr>
                <w:sz w:val="20"/>
                <w:szCs w:val="20"/>
              </w:rPr>
              <w:t xml:space="preserve">Recruit </w:t>
            </w:r>
            <w:proofErr w:type="spellStart"/>
            <w:r w:rsidR="008E4B76">
              <w:rPr>
                <w:sz w:val="20"/>
                <w:szCs w:val="20"/>
              </w:rPr>
              <w:t>L&amp;FS</w:t>
            </w:r>
            <w:proofErr w:type="spellEnd"/>
            <w:r w:rsidR="008E4B76">
              <w:rPr>
                <w:sz w:val="20"/>
                <w:szCs w:val="20"/>
              </w:rPr>
              <w:t xml:space="preserve"> professional</w:t>
            </w:r>
            <w:r w:rsidRPr="00547893">
              <w:rPr>
                <w:sz w:val="20"/>
                <w:szCs w:val="20"/>
              </w:rPr>
              <w:t xml:space="preserve"> 90 days after effective date of contract of guarantee</w:t>
            </w:r>
          </w:p>
          <w:p w14:paraId="1169DEF3" w14:textId="77777777" w:rsidR="008E4B76" w:rsidRDefault="008E4B76" w:rsidP="005876BB">
            <w:pPr>
              <w:rPr>
                <w:sz w:val="20"/>
                <w:szCs w:val="20"/>
              </w:rPr>
            </w:pPr>
          </w:p>
          <w:p w14:paraId="3BD0863F" w14:textId="77777777" w:rsidR="008E4B76" w:rsidRDefault="008E4B76" w:rsidP="005876BB">
            <w:pPr>
              <w:rPr>
                <w:sz w:val="20"/>
                <w:szCs w:val="20"/>
              </w:rPr>
            </w:pPr>
          </w:p>
          <w:p w14:paraId="3113C385" w14:textId="52091335" w:rsidR="005876BB" w:rsidRPr="005876BB" w:rsidRDefault="005876BB" w:rsidP="005876BB">
            <w:pPr>
              <w:rPr>
                <w:sz w:val="20"/>
                <w:szCs w:val="20"/>
              </w:rPr>
            </w:pPr>
            <w:r w:rsidRPr="005876BB"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L&amp;FS</w:t>
            </w:r>
            <w:proofErr w:type="spellEnd"/>
            <w:r>
              <w:rPr>
                <w:sz w:val="20"/>
                <w:szCs w:val="20"/>
              </w:rPr>
              <w:t xml:space="preserve"> plan</w:t>
            </w:r>
            <w:r w:rsidRPr="005876BB">
              <w:rPr>
                <w:sz w:val="20"/>
                <w:szCs w:val="20"/>
              </w:rPr>
              <w:t xml:space="preserve"> </w:t>
            </w:r>
            <w:r w:rsidR="000955BE">
              <w:rPr>
                <w:sz w:val="20"/>
                <w:szCs w:val="20"/>
              </w:rPr>
              <w:t>90</w:t>
            </w:r>
            <w:r w:rsidR="000955BE" w:rsidRPr="005876BB">
              <w:rPr>
                <w:sz w:val="20"/>
                <w:szCs w:val="20"/>
              </w:rPr>
              <w:t xml:space="preserve"> </w:t>
            </w:r>
            <w:r w:rsidRPr="005876BB">
              <w:rPr>
                <w:sz w:val="20"/>
                <w:szCs w:val="20"/>
              </w:rPr>
              <w:t xml:space="preserve">days after recruitment of </w:t>
            </w:r>
            <w:proofErr w:type="spellStart"/>
            <w:r w:rsidR="00411810">
              <w:rPr>
                <w:sz w:val="20"/>
                <w:szCs w:val="20"/>
              </w:rPr>
              <w:t>L&amp;FS</w:t>
            </w:r>
            <w:proofErr w:type="spellEnd"/>
            <w:r w:rsidR="00411810">
              <w:rPr>
                <w:sz w:val="20"/>
                <w:szCs w:val="20"/>
              </w:rPr>
              <w:t xml:space="preserve"> Professional </w:t>
            </w:r>
          </w:p>
          <w:p w14:paraId="5E409EDB" w14:textId="77777777" w:rsidR="005876BB" w:rsidRPr="005876BB" w:rsidRDefault="005876BB" w:rsidP="005876BB">
            <w:pPr>
              <w:rPr>
                <w:sz w:val="20"/>
                <w:szCs w:val="20"/>
              </w:rPr>
            </w:pPr>
          </w:p>
          <w:p w14:paraId="6AF612C3" w14:textId="2747A01C" w:rsidR="00272A40" w:rsidRPr="00FB2517" w:rsidRDefault="005876BB" w:rsidP="005876BB">
            <w:pPr>
              <w:rPr>
                <w:sz w:val="20"/>
                <w:szCs w:val="20"/>
              </w:rPr>
            </w:pPr>
            <w:r w:rsidRPr="005876BB">
              <w:rPr>
                <w:sz w:val="20"/>
                <w:szCs w:val="20"/>
              </w:rPr>
              <w:t>Final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L&amp;FS</w:t>
            </w:r>
            <w:proofErr w:type="spellEnd"/>
            <w:r>
              <w:rPr>
                <w:sz w:val="20"/>
                <w:szCs w:val="20"/>
              </w:rPr>
              <w:t xml:space="preserve"> plan</w:t>
            </w:r>
            <w:r w:rsidRPr="005876BB">
              <w:rPr>
                <w:sz w:val="20"/>
                <w:szCs w:val="20"/>
              </w:rPr>
              <w:t xml:space="preserve"> 30 days after draft</w:t>
            </w:r>
            <w:r w:rsidR="007E4318">
              <w:rPr>
                <w:sz w:val="20"/>
                <w:szCs w:val="20"/>
              </w:rPr>
              <w:t xml:space="preserve"> plan</w:t>
            </w:r>
          </w:p>
        </w:tc>
      </w:tr>
      <w:tr w:rsidR="00A8012F" w:rsidRPr="00FB2517" w14:paraId="441D4DF8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4FEC6AAD" w14:textId="4132CB58" w:rsidR="003A431E" w:rsidRPr="00FB2517" w:rsidRDefault="00827789" w:rsidP="003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16" w:type="dxa"/>
            <w:shd w:val="clear" w:color="auto" w:fill="FFFFFF" w:themeFill="background1"/>
          </w:tcPr>
          <w:p w14:paraId="3BC55713" w14:textId="1985CF11" w:rsidR="003A431E" w:rsidRPr="00FB2517" w:rsidRDefault="00463D18" w:rsidP="003A431E">
            <w:pPr>
              <w:rPr>
                <w:sz w:val="20"/>
                <w:szCs w:val="20"/>
              </w:rPr>
            </w:pPr>
            <w:proofErr w:type="spellStart"/>
            <w:r w:rsidRPr="00FB2517">
              <w:rPr>
                <w:sz w:val="20"/>
                <w:szCs w:val="20"/>
              </w:rPr>
              <w:t>L&amp;FS</w:t>
            </w:r>
            <w:proofErr w:type="spellEnd"/>
            <w:r w:rsidRPr="00FB2517">
              <w:rPr>
                <w:sz w:val="20"/>
                <w:szCs w:val="20"/>
              </w:rPr>
              <w:t xml:space="preserve"> professional </w:t>
            </w:r>
            <w:r w:rsidR="001C7DAC">
              <w:rPr>
                <w:sz w:val="20"/>
                <w:szCs w:val="20"/>
              </w:rPr>
              <w:t>will</w:t>
            </w:r>
            <w:r w:rsidR="00272A40" w:rsidRPr="00FB2517">
              <w:rPr>
                <w:sz w:val="20"/>
                <w:szCs w:val="20"/>
              </w:rPr>
              <w:t xml:space="preserve"> assess</w:t>
            </w:r>
            <w:r w:rsidRPr="00FB2517">
              <w:rPr>
                <w:sz w:val="20"/>
                <w:szCs w:val="20"/>
              </w:rPr>
              <w:t xml:space="preserve"> existing infrastructure </w:t>
            </w:r>
            <w:r w:rsidR="00272A40" w:rsidRPr="00FB2517">
              <w:rPr>
                <w:sz w:val="20"/>
                <w:szCs w:val="20"/>
              </w:rPr>
              <w:t>and</w:t>
            </w:r>
            <w:r w:rsidRPr="00FB2517">
              <w:rPr>
                <w:sz w:val="20"/>
                <w:szCs w:val="20"/>
              </w:rPr>
              <w:t xml:space="preserve"> ensure that it is in accordance with the </w:t>
            </w:r>
            <w:proofErr w:type="spellStart"/>
            <w:r w:rsidRPr="00FB2517">
              <w:rPr>
                <w:sz w:val="20"/>
                <w:szCs w:val="20"/>
              </w:rPr>
              <w:t>L&amp;FS</w:t>
            </w:r>
            <w:proofErr w:type="spellEnd"/>
            <w:r w:rsidRPr="00FB2517">
              <w:rPr>
                <w:sz w:val="20"/>
                <w:szCs w:val="20"/>
              </w:rPr>
              <w:t xml:space="preserve"> / structural section of the </w:t>
            </w:r>
            <w:r w:rsidR="00272A40" w:rsidRPr="00FB2517">
              <w:rPr>
                <w:sz w:val="20"/>
                <w:szCs w:val="20"/>
              </w:rPr>
              <w:t>World Bank Group (WBG)</w:t>
            </w:r>
            <w:r w:rsidRPr="00FB2517">
              <w:rPr>
                <w:sz w:val="20"/>
                <w:szCs w:val="20"/>
              </w:rPr>
              <w:t xml:space="preserve"> General </w:t>
            </w:r>
            <w:r w:rsidR="00272A40" w:rsidRPr="00FB2517">
              <w:rPr>
                <w:sz w:val="20"/>
                <w:szCs w:val="20"/>
              </w:rPr>
              <w:t>Environmental Health and Safety (</w:t>
            </w:r>
            <w:proofErr w:type="spellStart"/>
            <w:r w:rsidRPr="00FB2517">
              <w:rPr>
                <w:sz w:val="20"/>
                <w:szCs w:val="20"/>
              </w:rPr>
              <w:t>EHS</w:t>
            </w:r>
            <w:proofErr w:type="spellEnd"/>
            <w:r w:rsidR="00272A40" w:rsidRPr="00FB2517">
              <w:rPr>
                <w:sz w:val="20"/>
                <w:szCs w:val="20"/>
              </w:rPr>
              <w:t>)</w:t>
            </w:r>
            <w:r w:rsidRPr="00FB2517">
              <w:rPr>
                <w:sz w:val="20"/>
                <w:szCs w:val="20"/>
              </w:rPr>
              <w:t xml:space="preserve"> Guidelines</w:t>
            </w:r>
          </w:p>
        </w:tc>
        <w:tc>
          <w:tcPr>
            <w:tcW w:w="0" w:type="auto"/>
          </w:tcPr>
          <w:p w14:paraId="1CAA40C8" w14:textId="48A0E984" w:rsidR="003A431E" w:rsidRPr="00FB2517" w:rsidRDefault="00463D18" w:rsidP="003A431E">
            <w:pPr>
              <w:rPr>
                <w:sz w:val="20"/>
                <w:szCs w:val="20"/>
              </w:rPr>
            </w:pPr>
            <w:proofErr w:type="spellStart"/>
            <w:r w:rsidRPr="00FB2517">
              <w:rPr>
                <w:sz w:val="20"/>
                <w:szCs w:val="20"/>
              </w:rPr>
              <w:t>L&amp;FS</w:t>
            </w:r>
            <w:proofErr w:type="spellEnd"/>
            <w:r w:rsidRPr="00FB2517"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0" w:type="auto"/>
          </w:tcPr>
          <w:p w14:paraId="4A83FA11" w14:textId="6CC19E88" w:rsidR="003A431E" w:rsidRPr="00FB2517" w:rsidRDefault="00F64A93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463D18" w:rsidRPr="00FB2517">
              <w:rPr>
                <w:sz w:val="20"/>
                <w:szCs w:val="20"/>
              </w:rPr>
              <w:t xml:space="preserve"> days after effective date of contract </w:t>
            </w:r>
            <w:r w:rsidR="00272A40" w:rsidRPr="00FB2517">
              <w:rPr>
                <w:sz w:val="20"/>
                <w:szCs w:val="20"/>
              </w:rPr>
              <w:t>guarantee</w:t>
            </w:r>
            <w:r w:rsidR="00463D18" w:rsidRPr="00FB2517">
              <w:rPr>
                <w:sz w:val="20"/>
                <w:szCs w:val="20"/>
              </w:rPr>
              <w:t xml:space="preserve"> </w:t>
            </w:r>
          </w:p>
        </w:tc>
      </w:tr>
      <w:tr w:rsidR="00A8012F" w:rsidRPr="00FB2517" w14:paraId="5551342A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3344FD3C" w14:textId="54AFC8CF" w:rsidR="003A431E" w:rsidRPr="00FB2517" w:rsidRDefault="00827789" w:rsidP="003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916" w:type="dxa"/>
            <w:shd w:val="clear" w:color="auto" w:fill="FFFFFF" w:themeFill="background1"/>
          </w:tcPr>
          <w:p w14:paraId="78B3ADFA" w14:textId="41D3C242" w:rsidR="003A431E" w:rsidRPr="00FB2517" w:rsidRDefault="00A963EE" w:rsidP="003A431E">
            <w:pPr>
              <w:rPr>
                <w:sz w:val="20"/>
                <w:szCs w:val="20"/>
              </w:rPr>
            </w:pPr>
            <w:r w:rsidRPr="00FB2517">
              <w:rPr>
                <w:sz w:val="20"/>
                <w:szCs w:val="20"/>
              </w:rPr>
              <w:t xml:space="preserve">Develop and implement a Stakeholder Engagement Plan (SEP) in line with the PSs </w:t>
            </w:r>
            <w:r w:rsidR="0051569A" w:rsidRPr="0051569A">
              <w:rPr>
                <w:sz w:val="20"/>
                <w:szCs w:val="20"/>
              </w:rPr>
              <w:t xml:space="preserve">and scaled to the Project risks and impacts </w:t>
            </w:r>
            <w:r w:rsidRPr="00FB2517">
              <w:rPr>
                <w:sz w:val="20"/>
                <w:szCs w:val="20"/>
              </w:rPr>
              <w:t xml:space="preserve">that will: (i) incorporate the existing Social Health Management Process and procedures, (ii) outline </w:t>
            </w:r>
            <w:proofErr w:type="spellStart"/>
            <w:r w:rsidRPr="00FB2517">
              <w:rPr>
                <w:sz w:val="20"/>
                <w:szCs w:val="20"/>
              </w:rPr>
              <w:t>SDS’s</w:t>
            </w:r>
            <w:proofErr w:type="spellEnd"/>
            <w:r w:rsidRPr="00FB2517">
              <w:rPr>
                <w:sz w:val="20"/>
                <w:szCs w:val="20"/>
              </w:rPr>
              <w:t xml:space="preserve"> objectives in terms of stakeholder engagement; and (iii) describe the activities to be conducted with the stakeholders during each stage of the Project’s development. The SEP will also include procedures for documenting engagement activities</w:t>
            </w:r>
            <w:r w:rsidR="00B65C65">
              <w:t xml:space="preserve"> </w:t>
            </w:r>
            <w:r w:rsidR="00B65C65">
              <w:rPr>
                <w:sz w:val="20"/>
                <w:szCs w:val="20"/>
              </w:rPr>
              <w:t>and</w:t>
            </w:r>
            <w:r w:rsidR="00B65C65" w:rsidRPr="00B65C65">
              <w:rPr>
                <w:sz w:val="20"/>
                <w:szCs w:val="20"/>
              </w:rPr>
              <w:t xml:space="preserve"> ensure that the vulnerable population is identified and consulte</w:t>
            </w:r>
            <w:r w:rsidR="00B65C65">
              <w:rPr>
                <w:sz w:val="20"/>
                <w:szCs w:val="20"/>
              </w:rPr>
              <w:t>d</w:t>
            </w:r>
            <w:r w:rsidR="00B65C65" w:rsidRPr="00B65C6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B38479E" w14:textId="77777777" w:rsidR="00BB1B27" w:rsidRDefault="00BB1B27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SEP</w:t>
            </w:r>
          </w:p>
          <w:p w14:paraId="1A36065C" w14:textId="77777777" w:rsidR="00BB1B27" w:rsidRDefault="00BB1B27" w:rsidP="003A431E">
            <w:pPr>
              <w:rPr>
                <w:sz w:val="20"/>
                <w:szCs w:val="20"/>
              </w:rPr>
            </w:pPr>
          </w:p>
          <w:p w14:paraId="520F36BC" w14:textId="77777777" w:rsidR="00BB1B27" w:rsidRDefault="00BB1B27" w:rsidP="003A431E">
            <w:pPr>
              <w:rPr>
                <w:sz w:val="20"/>
                <w:szCs w:val="20"/>
              </w:rPr>
            </w:pPr>
          </w:p>
          <w:p w14:paraId="05D4600D" w14:textId="77777777" w:rsidR="00BB1B27" w:rsidRDefault="00BB1B27" w:rsidP="003A431E">
            <w:pPr>
              <w:rPr>
                <w:sz w:val="20"/>
                <w:szCs w:val="20"/>
              </w:rPr>
            </w:pPr>
          </w:p>
          <w:p w14:paraId="20263F17" w14:textId="11E877B7" w:rsidR="003A431E" w:rsidRPr="00FB2517" w:rsidRDefault="00BB1B27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SEP</w:t>
            </w:r>
            <w:r w:rsidR="00AC6873" w:rsidRPr="00FB2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9720C74" w14:textId="76B77EDE" w:rsidR="003B0EC5" w:rsidRDefault="003B0EC5" w:rsidP="003B0EC5">
            <w:pPr>
              <w:rPr>
                <w:sz w:val="20"/>
                <w:szCs w:val="20"/>
              </w:rPr>
            </w:pPr>
            <w:r w:rsidRPr="001E5365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SEP</w:t>
            </w:r>
            <w:r w:rsidRPr="001E5365">
              <w:rPr>
                <w:sz w:val="20"/>
                <w:szCs w:val="20"/>
              </w:rPr>
              <w:t xml:space="preserve"> </w:t>
            </w:r>
            <w:r w:rsidR="000955BE">
              <w:rPr>
                <w:sz w:val="20"/>
                <w:szCs w:val="20"/>
              </w:rPr>
              <w:t>90</w:t>
            </w:r>
            <w:r w:rsidR="000955BE" w:rsidRPr="001E5365">
              <w:rPr>
                <w:sz w:val="20"/>
                <w:szCs w:val="20"/>
              </w:rPr>
              <w:t xml:space="preserve"> </w:t>
            </w:r>
            <w:r w:rsidRPr="001E5365">
              <w:rPr>
                <w:sz w:val="20"/>
                <w:szCs w:val="20"/>
              </w:rPr>
              <w:t>days after recruitment of E&amp;S Consultant</w:t>
            </w:r>
          </w:p>
          <w:p w14:paraId="6754931B" w14:textId="77777777" w:rsidR="003B0EC5" w:rsidRDefault="003B0EC5" w:rsidP="003B0EC5">
            <w:pPr>
              <w:rPr>
                <w:sz w:val="20"/>
                <w:szCs w:val="20"/>
              </w:rPr>
            </w:pPr>
          </w:p>
          <w:p w14:paraId="764F2527" w14:textId="53FBE5F6" w:rsidR="003A431E" w:rsidRPr="00FB2517" w:rsidRDefault="003B0EC5" w:rsidP="003A431E">
            <w:pPr>
              <w:rPr>
                <w:sz w:val="20"/>
                <w:szCs w:val="20"/>
              </w:rPr>
            </w:pPr>
            <w:r w:rsidRPr="00810492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 xml:space="preserve">SEP </w:t>
            </w:r>
            <w:r w:rsidRPr="00810492">
              <w:rPr>
                <w:sz w:val="20"/>
                <w:szCs w:val="20"/>
              </w:rPr>
              <w:t>30 days after draft</w:t>
            </w:r>
          </w:p>
        </w:tc>
      </w:tr>
      <w:tr w:rsidR="00A8012F" w:rsidRPr="00FB2517" w14:paraId="0004AF6F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274B17C9" w14:textId="788B0A66" w:rsidR="003A431E" w:rsidRPr="00FB2517" w:rsidRDefault="00827789" w:rsidP="003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916" w:type="dxa"/>
            <w:shd w:val="clear" w:color="auto" w:fill="FFFFFF" w:themeFill="background1"/>
          </w:tcPr>
          <w:p w14:paraId="06DC3C69" w14:textId="15132A68" w:rsidR="003A431E" w:rsidRPr="00FB2517" w:rsidRDefault="00897720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897720">
              <w:rPr>
                <w:sz w:val="20"/>
                <w:szCs w:val="20"/>
              </w:rPr>
              <w:t>nsure that the grievance redress mechanism</w:t>
            </w:r>
            <w:r w:rsidR="003B0EC5">
              <w:rPr>
                <w:sz w:val="20"/>
                <w:szCs w:val="20"/>
              </w:rPr>
              <w:t xml:space="preserve"> (</w:t>
            </w:r>
            <w:proofErr w:type="spellStart"/>
            <w:r w:rsidR="003B0EC5">
              <w:rPr>
                <w:sz w:val="20"/>
                <w:szCs w:val="20"/>
              </w:rPr>
              <w:t>GRM</w:t>
            </w:r>
            <w:proofErr w:type="spellEnd"/>
            <w:r w:rsidR="003B0EC5">
              <w:rPr>
                <w:sz w:val="20"/>
                <w:szCs w:val="20"/>
              </w:rPr>
              <w:t>)</w:t>
            </w:r>
            <w:r w:rsidRPr="00897720">
              <w:rPr>
                <w:sz w:val="20"/>
                <w:szCs w:val="20"/>
              </w:rPr>
              <w:t xml:space="preserve"> tracks and reports on grievances and responses specific to the </w:t>
            </w:r>
            <w:r>
              <w:rPr>
                <w:sz w:val="20"/>
                <w:szCs w:val="20"/>
              </w:rPr>
              <w:t xml:space="preserve">Project </w:t>
            </w:r>
            <w:r w:rsidRPr="00897720">
              <w:rPr>
                <w:sz w:val="20"/>
                <w:szCs w:val="20"/>
              </w:rPr>
              <w:t>sub-components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A063913" w14:textId="2BD3DF22" w:rsidR="003A431E" w:rsidRPr="00FB2517" w:rsidRDefault="003B0EC5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proofErr w:type="spellStart"/>
            <w:r>
              <w:rPr>
                <w:sz w:val="20"/>
                <w:szCs w:val="20"/>
              </w:rPr>
              <w:t>GRM</w:t>
            </w:r>
            <w:proofErr w:type="spellEnd"/>
            <w:r w:rsidR="00FB25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A6F42BF" w14:textId="091ADFB9" w:rsidR="003B0EC5" w:rsidRDefault="003B0EC5" w:rsidP="003B0EC5">
            <w:pPr>
              <w:rPr>
                <w:sz w:val="20"/>
                <w:szCs w:val="20"/>
              </w:rPr>
            </w:pPr>
            <w:r w:rsidRPr="001E5365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 xml:space="preserve">updated </w:t>
            </w:r>
            <w:proofErr w:type="spellStart"/>
            <w:r>
              <w:rPr>
                <w:sz w:val="20"/>
                <w:szCs w:val="20"/>
              </w:rPr>
              <w:t>GRM</w:t>
            </w:r>
            <w:proofErr w:type="spellEnd"/>
            <w:r w:rsidRPr="001E5365">
              <w:rPr>
                <w:sz w:val="20"/>
                <w:szCs w:val="20"/>
              </w:rPr>
              <w:t xml:space="preserve"> </w:t>
            </w:r>
            <w:r w:rsidR="000955BE">
              <w:rPr>
                <w:sz w:val="20"/>
                <w:szCs w:val="20"/>
              </w:rPr>
              <w:t>90</w:t>
            </w:r>
            <w:r w:rsidR="000955BE" w:rsidRPr="001E5365">
              <w:rPr>
                <w:sz w:val="20"/>
                <w:szCs w:val="20"/>
              </w:rPr>
              <w:t xml:space="preserve"> </w:t>
            </w:r>
            <w:r w:rsidRPr="001E5365">
              <w:rPr>
                <w:sz w:val="20"/>
                <w:szCs w:val="20"/>
              </w:rPr>
              <w:t>days after recruitment of E&amp;S Consultant</w:t>
            </w:r>
          </w:p>
          <w:p w14:paraId="69605062" w14:textId="77777777" w:rsidR="003B0EC5" w:rsidRDefault="003B0EC5" w:rsidP="003B0EC5">
            <w:pPr>
              <w:rPr>
                <w:sz w:val="20"/>
                <w:szCs w:val="20"/>
              </w:rPr>
            </w:pPr>
          </w:p>
          <w:p w14:paraId="6BC858D4" w14:textId="77701C1A" w:rsidR="003A431E" w:rsidRPr="00FB2517" w:rsidRDefault="003B0EC5" w:rsidP="003A431E">
            <w:pPr>
              <w:rPr>
                <w:sz w:val="20"/>
                <w:szCs w:val="20"/>
              </w:rPr>
            </w:pPr>
            <w:r w:rsidRPr="00810492">
              <w:rPr>
                <w:sz w:val="20"/>
                <w:szCs w:val="20"/>
              </w:rPr>
              <w:lastRenderedPageBreak/>
              <w:t xml:space="preserve">Final </w:t>
            </w:r>
            <w:r>
              <w:rPr>
                <w:sz w:val="20"/>
                <w:szCs w:val="20"/>
              </w:rPr>
              <w:t xml:space="preserve">updated </w:t>
            </w:r>
            <w:proofErr w:type="spellStart"/>
            <w:r>
              <w:rPr>
                <w:sz w:val="20"/>
                <w:szCs w:val="20"/>
              </w:rPr>
              <w:t>GRM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10492">
              <w:rPr>
                <w:sz w:val="20"/>
                <w:szCs w:val="20"/>
              </w:rPr>
              <w:t>30 days after draft</w:t>
            </w:r>
          </w:p>
        </w:tc>
      </w:tr>
      <w:tr w:rsidR="00DC27B8" w:rsidRPr="00FB2517" w14:paraId="4395FF7D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43A41D41" w14:textId="670568A3" w:rsidR="00DC27B8" w:rsidRDefault="00DC27B8" w:rsidP="003A43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FFFFFF" w:themeFill="background1"/>
          </w:tcPr>
          <w:p w14:paraId="0A03210E" w14:textId="6CC0DD7B" w:rsidR="005F4C66" w:rsidRDefault="005F4C66" w:rsidP="003A43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17D2C7" w14:textId="4097FE17" w:rsidR="00DC27B8" w:rsidDel="003B0EC5" w:rsidRDefault="00DC27B8" w:rsidP="003A43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FDFB13" w14:textId="2AB22FA0" w:rsidR="00DC27B8" w:rsidRPr="001E5365" w:rsidRDefault="00DC27B8" w:rsidP="003B0EC5">
            <w:pPr>
              <w:rPr>
                <w:sz w:val="20"/>
                <w:szCs w:val="20"/>
              </w:rPr>
            </w:pPr>
          </w:p>
        </w:tc>
      </w:tr>
      <w:tr w:rsidR="003A431E" w:rsidRPr="00FB2517" w14:paraId="7A31DA36" w14:textId="77777777" w:rsidTr="00C46677">
        <w:tc>
          <w:tcPr>
            <w:tcW w:w="625" w:type="dxa"/>
            <w:shd w:val="clear" w:color="auto" w:fill="D9D9D9" w:themeFill="background1" w:themeFillShade="D9"/>
          </w:tcPr>
          <w:p w14:paraId="64E6DED7" w14:textId="77777777" w:rsidR="003A431E" w:rsidRPr="00FB2517" w:rsidRDefault="003A431E" w:rsidP="003A43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5" w:type="dxa"/>
            <w:gridSpan w:val="3"/>
            <w:shd w:val="clear" w:color="auto" w:fill="B4C6E7" w:themeFill="accent1" w:themeFillTint="66"/>
          </w:tcPr>
          <w:p w14:paraId="07FFC4E9" w14:textId="77777777" w:rsidR="003A431E" w:rsidRPr="00FB2517" w:rsidRDefault="003A431E" w:rsidP="003A431E">
            <w:pPr>
              <w:rPr>
                <w:b/>
                <w:sz w:val="20"/>
                <w:szCs w:val="20"/>
              </w:rPr>
            </w:pPr>
            <w:r w:rsidRPr="00FB2517">
              <w:rPr>
                <w:b/>
                <w:sz w:val="20"/>
                <w:szCs w:val="20"/>
              </w:rPr>
              <w:t>Performance Standard 2: Labor and Working Conditions</w:t>
            </w:r>
          </w:p>
        </w:tc>
      </w:tr>
      <w:tr w:rsidR="00A8012F" w:rsidRPr="00FB2517" w14:paraId="2BEE103D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4A2D5BDA" w14:textId="4DA3FC6D" w:rsidR="003C7860" w:rsidRDefault="00A760EE" w:rsidP="003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916" w:type="dxa"/>
            <w:shd w:val="clear" w:color="auto" w:fill="FFFFFF" w:themeFill="background1"/>
          </w:tcPr>
          <w:p w14:paraId="099279EF" w14:textId="77777777" w:rsidR="003C7860" w:rsidRDefault="00850AFC" w:rsidP="0064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0AFC">
              <w:rPr>
                <w:sz w:val="20"/>
                <w:szCs w:val="20"/>
              </w:rPr>
              <w:t xml:space="preserve">rovide workers with documented information regarding their rights under national labor and employment law. </w:t>
            </w:r>
          </w:p>
          <w:p w14:paraId="1E69C7DA" w14:textId="77777777" w:rsidR="00252D84" w:rsidRDefault="00252D84" w:rsidP="00641D94">
            <w:pPr>
              <w:rPr>
                <w:sz w:val="20"/>
                <w:szCs w:val="20"/>
              </w:rPr>
            </w:pPr>
          </w:p>
          <w:p w14:paraId="25508508" w14:textId="77777777" w:rsidR="00252D84" w:rsidRDefault="00252D84" w:rsidP="00641D94">
            <w:pPr>
              <w:rPr>
                <w:sz w:val="20"/>
                <w:szCs w:val="20"/>
              </w:rPr>
            </w:pPr>
          </w:p>
          <w:p w14:paraId="3D513CD8" w14:textId="77777777" w:rsidR="00395327" w:rsidRDefault="00395327" w:rsidP="00641D94">
            <w:pPr>
              <w:rPr>
                <w:sz w:val="20"/>
                <w:szCs w:val="20"/>
              </w:rPr>
            </w:pPr>
          </w:p>
          <w:p w14:paraId="3DB1869B" w14:textId="77777777" w:rsidR="00395327" w:rsidRDefault="00395327" w:rsidP="00641D94">
            <w:pPr>
              <w:rPr>
                <w:sz w:val="20"/>
                <w:szCs w:val="20"/>
              </w:rPr>
            </w:pPr>
          </w:p>
          <w:p w14:paraId="4929856C" w14:textId="4CF71370" w:rsidR="00252D84" w:rsidRPr="00641D94" w:rsidRDefault="00252D84" w:rsidP="0064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maintain a system that keeps all applicable records of all its directly contracted workers </w:t>
            </w:r>
          </w:p>
        </w:tc>
        <w:tc>
          <w:tcPr>
            <w:tcW w:w="0" w:type="auto"/>
          </w:tcPr>
          <w:p w14:paraId="7CA3C3BB" w14:textId="462440E2" w:rsidR="003C7860" w:rsidRDefault="00395327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850AFC" w:rsidRPr="00850AFC">
              <w:rPr>
                <w:sz w:val="20"/>
                <w:szCs w:val="20"/>
              </w:rPr>
              <w:t xml:space="preserve">ontracts </w:t>
            </w:r>
            <w:r w:rsidR="00850AFC">
              <w:rPr>
                <w:sz w:val="20"/>
                <w:szCs w:val="20"/>
              </w:rPr>
              <w:t>that</w:t>
            </w:r>
            <w:r w:rsidR="00850AFC" w:rsidRPr="00850AFC">
              <w:rPr>
                <w:sz w:val="20"/>
                <w:szCs w:val="20"/>
              </w:rPr>
              <w:t xml:space="preserve"> include the type of workers’ data and information that will be retained by the </w:t>
            </w:r>
            <w:r w:rsidR="00850AFC">
              <w:rPr>
                <w:sz w:val="20"/>
                <w:szCs w:val="20"/>
              </w:rPr>
              <w:t>Project Enterprise</w:t>
            </w:r>
            <w:r w:rsidR="00252D84">
              <w:rPr>
                <w:sz w:val="20"/>
                <w:szCs w:val="20"/>
              </w:rPr>
              <w:t>.</w:t>
            </w:r>
          </w:p>
          <w:p w14:paraId="4E65D089" w14:textId="77777777" w:rsidR="00252D84" w:rsidRDefault="00252D84" w:rsidP="003A431E">
            <w:pPr>
              <w:rPr>
                <w:sz w:val="20"/>
                <w:szCs w:val="20"/>
              </w:rPr>
            </w:pPr>
          </w:p>
          <w:p w14:paraId="5E123946" w14:textId="77777777" w:rsidR="00C87C19" w:rsidRDefault="00C87C19" w:rsidP="003A431E">
            <w:pPr>
              <w:rPr>
                <w:sz w:val="20"/>
                <w:szCs w:val="20"/>
              </w:rPr>
            </w:pPr>
          </w:p>
          <w:p w14:paraId="58F06829" w14:textId="1DDA62EF" w:rsidR="00252D84" w:rsidRDefault="00252D84" w:rsidP="003A4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Copies of </w:t>
            </w:r>
            <w:r w:rsidR="00A278BE">
              <w:rPr>
                <w:sz w:val="20"/>
                <w:szCs w:val="20"/>
              </w:rPr>
              <w:t>the</w:t>
            </w:r>
            <w:r w:rsidRPr="00252D84">
              <w:rPr>
                <w:sz w:val="20"/>
                <w:szCs w:val="20"/>
              </w:rPr>
              <w:t xml:space="preserve"> system that keeps records of all its directly contracted workers.</w:t>
            </w:r>
          </w:p>
        </w:tc>
        <w:tc>
          <w:tcPr>
            <w:tcW w:w="0" w:type="auto"/>
          </w:tcPr>
          <w:p w14:paraId="7FE772A8" w14:textId="67859A5C" w:rsidR="00850AFC" w:rsidRDefault="00A278BE" w:rsidP="00850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850AFC" w:rsidRPr="00394D3F">
              <w:rPr>
                <w:sz w:val="20"/>
                <w:szCs w:val="20"/>
              </w:rPr>
              <w:t xml:space="preserve"> days after effective date of contract of guarantee</w:t>
            </w:r>
          </w:p>
          <w:p w14:paraId="0B7FA706" w14:textId="7426BDF6" w:rsidR="00A278BE" w:rsidRDefault="00A278BE" w:rsidP="00850AFC">
            <w:pPr>
              <w:rPr>
                <w:sz w:val="20"/>
                <w:szCs w:val="20"/>
              </w:rPr>
            </w:pPr>
          </w:p>
          <w:p w14:paraId="4AC11122" w14:textId="77777777" w:rsidR="00395327" w:rsidRDefault="00395327" w:rsidP="00A278BE">
            <w:pPr>
              <w:rPr>
                <w:sz w:val="20"/>
                <w:szCs w:val="20"/>
              </w:rPr>
            </w:pPr>
          </w:p>
          <w:p w14:paraId="067A1787" w14:textId="77777777" w:rsidR="00395327" w:rsidRDefault="00395327" w:rsidP="00A278BE">
            <w:pPr>
              <w:rPr>
                <w:sz w:val="20"/>
                <w:szCs w:val="20"/>
              </w:rPr>
            </w:pPr>
          </w:p>
          <w:p w14:paraId="38E0E068" w14:textId="77777777" w:rsidR="00395327" w:rsidRDefault="00395327" w:rsidP="00A278BE">
            <w:pPr>
              <w:rPr>
                <w:sz w:val="20"/>
                <w:szCs w:val="20"/>
              </w:rPr>
            </w:pPr>
          </w:p>
          <w:p w14:paraId="314C48DC" w14:textId="14E539A3" w:rsidR="00A278BE" w:rsidRDefault="00A278BE" w:rsidP="00A27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394D3F">
              <w:rPr>
                <w:sz w:val="20"/>
                <w:szCs w:val="20"/>
              </w:rPr>
              <w:t xml:space="preserve"> days after effective date of contract of guarantee</w:t>
            </w:r>
          </w:p>
          <w:p w14:paraId="0D5281DA" w14:textId="77777777" w:rsidR="00A278BE" w:rsidRDefault="00A278BE" w:rsidP="00850AFC">
            <w:pPr>
              <w:rPr>
                <w:sz w:val="20"/>
                <w:szCs w:val="20"/>
              </w:rPr>
            </w:pPr>
          </w:p>
          <w:p w14:paraId="19D8C443" w14:textId="77777777" w:rsidR="003C7860" w:rsidRPr="00394D3F" w:rsidRDefault="003C7860" w:rsidP="003A431E">
            <w:pPr>
              <w:rPr>
                <w:sz w:val="20"/>
                <w:szCs w:val="20"/>
              </w:rPr>
            </w:pPr>
          </w:p>
        </w:tc>
      </w:tr>
      <w:tr w:rsidR="00A8012F" w:rsidRPr="00FB2517" w14:paraId="552F6B0C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1CD684C6" w14:textId="2717B06D" w:rsidR="00AA0D72" w:rsidRPr="00FB2517" w:rsidRDefault="00A760EE" w:rsidP="003A43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916" w:type="dxa"/>
            <w:shd w:val="clear" w:color="auto" w:fill="FFFFFF" w:themeFill="background1"/>
          </w:tcPr>
          <w:p w14:paraId="7E50CC13" w14:textId="0D149B1F" w:rsidR="00641D94" w:rsidRDefault="00E87153" w:rsidP="00641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and implement </w:t>
            </w:r>
            <w:r w:rsidR="007642E1" w:rsidRPr="007642E1">
              <w:rPr>
                <w:sz w:val="20"/>
                <w:szCs w:val="20"/>
              </w:rPr>
              <w:t>policies and procedures related to gender-based violence (</w:t>
            </w:r>
            <w:proofErr w:type="spellStart"/>
            <w:r w:rsidR="007642E1" w:rsidRPr="007642E1">
              <w:rPr>
                <w:sz w:val="20"/>
                <w:szCs w:val="20"/>
              </w:rPr>
              <w:t>GBV</w:t>
            </w:r>
            <w:proofErr w:type="spellEnd"/>
            <w:r w:rsidR="007642E1" w:rsidRPr="007642E1">
              <w:rPr>
                <w:sz w:val="20"/>
                <w:szCs w:val="20"/>
              </w:rPr>
              <w:t>), including sexual harassment, Code of Ethics, disciplinary procedures and employee grievance mechanism</w:t>
            </w:r>
            <w:r w:rsidR="00A92713">
              <w:rPr>
                <w:sz w:val="20"/>
                <w:szCs w:val="20"/>
              </w:rPr>
              <w:t xml:space="preserve">. </w:t>
            </w:r>
            <w:r w:rsidR="00A201A1" w:rsidRPr="00A201A1">
              <w:rPr>
                <w:sz w:val="20"/>
                <w:szCs w:val="20"/>
              </w:rPr>
              <w:t>These policies and procedures will be applied to the sub-networks and contractors</w:t>
            </w:r>
            <w:r w:rsidR="004D4A2E">
              <w:rPr>
                <w:sz w:val="20"/>
                <w:szCs w:val="20"/>
              </w:rPr>
              <w:t xml:space="preserve">. </w:t>
            </w:r>
          </w:p>
          <w:p w14:paraId="7D4599B1" w14:textId="77777777" w:rsidR="00641D94" w:rsidRPr="00641D94" w:rsidRDefault="00641D94" w:rsidP="00641D94">
            <w:pPr>
              <w:rPr>
                <w:sz w:val="20"/>
                <w:szCs w:val="20"/>
              </w:rPr>
            </w:pPr>
          </w:p>
          <w:p w14:paraId="6CB0707A" w14:textId="03FBDC58" w:rsidR="00AA0D72" w:rsidRPr="00FB2517" w:rsidRDefault="00AA0D72" w:rsidP="00641D9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B00142" w14:textId="76C7C288" w:rsidR="00AA0D72" w:rsidRDefault="00571FA1" w:rsidP="003A43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GBV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201A1">
              <w:rPr>
                <w:sz w:val="20"/>
                <w:szCs w:val="20"/>
              </w:rPr>
              <w:t>policies and procedures</w:t>
            </w:r>
            <w:r w:rsidR="00973AA9">
              <w:rPr>
                <w:sz w:val="20"/>
                <w:szCs w:val="20"/>
              </w:rPr>
              <w:t xml:space="preserve"> </w:t>
            </w:r>
          </w:p>
          <w:p w14:paraId="5FC4341E" w14:textId="77777777" w:rsidR="00B16439" w:rsidRDefault="00B16439" w:rsidP="003A431E">
            <w:pPr>
              <w:rPr>
                <w:sz w:val="20"/>
                <w:szCs w:val="20"/>
              </w:rPr>
            </w:pPr>
          </w:p>
          <w:p w14:paraId="5CEB19D4" w14:textId="77777777" w:rsidR="00B16439" w:rsidRDefault="00B16439" w:rsidP="003A431E">
            <w:pPr>
              <w:rPr>
                <w:sz w:val="20"/>
                <w:szCs w:val="20"/>
              </w:rPr>
            </w:pPr>
          </w:p>
          <w:p w14:paraId="47D7DC46" w14:textId="1EA6B932" w:rsidR="00B16439" w:rsidRPr="00FB2517" w:rsidRDefault="00B16439" w:rsidP="003A431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5A33F81" w14:textId="2CC40385" w:rsidR="004D4A2E" w:rsidRDefault="004D4A2E" w:rsidP="004D4A2E">
            <w:pPr>
              <w:rPr>
                <w:sz w:val="20"/>
                <w:szCs w:val="20"/>
              </w:rPr>
            </w:pPr>
            <w:r w:rsidRPr="001E5365">
              <w:rPr>
                <w:sz w:val="20"/>
                <w:szCs w:val="20"/>
              </w:rPr>
              <w:t xml:space="preserve">Draft </w:t>
            </w:r>
            <w:proofErr w:type="spellStart"/>
            <w:r>
              <w:rPr>
                <w:sz w:val="20"/>
                <w:szCs w:val="20"/>
              </w:rPr>
              <w:t>GBV</w:t>
            </w:r>
            <w:proofErr w:type="spellEnd"/>
            <w:r w:rsidR="000C058F">
              <w:rPr>
                <w:sz w:val="20"/>
                <w:szCs w:val="20"/>
              </w:rPr>
              <w:t xml:space="preserve"> policies and procedures </w:t>
            </w:r>
            <w:r w:rsidRPr="001E5365">
              <w:rPr>
                <w:sz w:val="20"/>
                <w:szCs w:val="20"/>
              </w:rPr>
              <w:t>60 days after recruitment of E&amp;S Consultant</w:t>
            </w:r>
          </w:p>
          <w:p w14:paraId="52C7F59A" w14:textId="77777777" w:rsidR="004D4A2E" w:rsidRDefault="004D4A2E" w:rsidP="004D4A2E">
            <w:pPr>
              <w:rPr>
                <w:sz w:val="20"/>
                <w:szCs w:val="20"/>
              </w:rPr>
            </w:pPr>
          </w:p>
          <w:p w14:paraId="3F2A4F42" w14:textId="3EFA9BBC" w:rsidR="00394D3F" w:rsidRPr="00FB2517" w:rsidRDefault="004D4A2E" w:rsidP="003A431E">
            <w:pPr>
              <w:rPr>
                <w:sz w:val="20"/>
                <w:szCs w:val="20"/>
              </w:rPr>
            </w:pPr>
            <w:r w:rsidRPr="00810492">
              <w:rPr>
                <w:sz w:val="20"/>
                <w:szCs w:val="20"/>
              </w:rPr>
              <w:t xml:space="preserve">Final </w:t>
            </w:r>
            <w:proofErr w:type="spellStart"/>
            <w:r w:rsidR="000C058F">
              <w:rPr>
                <w:sz w:val="20"/>
                <w:szCs w:val="20"/>
              </w:rPr>
              <w:t>GBV</w:t>
            </w:r>
            <w:proofErr w:type="spellEnd"/>
            <w:r w:rsidR="000C058F">
              <w:rPr>
                <w:sz w:val="20"/>
                <w:szCs w:val="20"/>
              </w:rPr>
              <w:t xml:space="preserve"> policies and procedures</w:t>
            </w:r>
            <w:r>
              <w:rPr>
                <w:sz w:val="20"/>
                <w:szCs w:val="20"/>
              </w:rPr>
              <w:t xml:space="preserve"> </w:t>
            </w:r>
            <w:r w:rsidRPr="00810492">
              <w:rPr>
                <w:sz w:val="20"/>
                <w:szCs w:val="20"/>
              </w:rPr>
              <w:t>30 days after draft</w:t>
            </w:r>
          </w:p>
        </w:tc>
      </w:tr>
      <w:tr w:rsidR="00A8012F" w:rsidRPr="00FB2517" w14:paraId="04EFCAAB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3AB69D32" w14:textId="52D7FC5F" w:rsidR="006020BB" w:rsidRDefault="00A760EE" w:rsidP="00602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916" w:type="dxa"/>
            <w:shd w:val="clear" w:color="auto" w:fill="FFFFFF" w:themeFill="background1"/>
          </w:tcPr>
          <w:p w14:paraId="0AB967AD" w14:textId="2406AADA" w:rsidR="006020BB" w:rsidRDefault="006020BB" w:rsidP="0060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that</w:t>
            </w:r>
            <w:r w:rsidRPr="00E2200D">
              <w:rPr>
                <w:sz w:val="20"/>
                <w:szCs w:val="20"/>
              </w:rPr>
              <w:t xml:space="preserve"> contracts with </w:t>
            </w:r>
            <w:r>
              <w:rPr>
                <w:sz w:val="20"/>
                <w:szCs w:val="20"/>
              </w:rPr>
              <w:t xml:space="preserve">third party </w:t>
            </w:r>
            <w:r w:rsidRPr="00E2200D">
              <w:rPr>
                <w:sz w:val="20"/>
                <w:szCs w:val="20"/>
              </w:rPr>
              <w:t xml:space="preserve">suppliers </w:t>
            </w:r>
            <w:r w:rsidR="009724A0">
              <w:rPr>
                <w:sz w:val="20"/>
                <w:szCs w:val="20"/>
              </w:rPr>
              <w:t>include</w:t>
            </w:r>
            <w:r w:rsidRPr="00E2200D">
              <w:rPr>
                <w:sz w:val="20"/>
                <w:szCs w:val="20"/>
              </w:rPr>
              <w:t xml:space="preserve"> conditions and requirements regarding the prevention of child labor, forced labor, discriminatory conducts,</w:t>
            </w:r>
            <w:r>
              <w:rPr>
                <w:sz w:val="20"/>
                <w:szCs w:val="20"/>
              </w:rPr>
              <w:t xml:space="preserve"> as well as </w:t>
            </w:r>
            <w:r w:rsidRPr="00E2200D">
              <w:rPr>
                <w:sz w:val="20"/>
                <w:szCs w:val="20"/>
              </w:rPr>
              <w:t>the disclosure of grievance mechanisms that would be available for all workers</w:t>
            </w:r>
          </w:p>
        </w:tc>
        <w:tc>
          <w:tcPr>
            <w:tcW w:w="0" w:type="auto"/>
          </w:tcPr>
          <w:p w14:paraId="05CB0987" w14:textId="3DA86172" w:rsidR="006020BB" w:rsidRDefault="006020BB" w:rsidP="0060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party supplier contracts </w:t>
            </w:r>
          </w:p>
        </w:tc>
        <w:tc>
          <w:tcPr>
            <w:tcW w:w="0" w:type="auto"/>
          </w:tcPr>
          <w:p w14:paraId="2552710D" w14:textId="10BB17B6" w:rsidR="005505D9" w:rsidRDefault="005505D9" w:rsidP="006020BB">
            <w:pPr>
              <w:rPr>
                <w:sz w:val="20"/>
                <w:szCs w:val="20"/>
              </w:rPr>
            </w:pPr>
          </w:p>
          <w:p w14:paraId="03D04BE6" w14:textId="77777777" w:rsidR="005505D9" w:rsidRDefault="005505D9" w:rsidP="0055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days after effective date of contract for existing contracts or contracts about to commence </w:t>
            </w:r>
          </w:p>
          <w:p w14:paraId="68FC756B" w14:textId="77777777" w:rsidR="005505D9" w:rsidRDefault="005505D9" w:rsidP="005505D9">
            <w:pPr>
              <w:rPr>
                <w:sz w:val="20"/>
                <w:szCs w:val="20"/>
              </w:rPr>
            </w:pPr>
          </w:p>
          <w:p w14:paraId="593943ED" w14:textId="383172EC" w:rsidR="005505D9" w:rsidRPr="00B716BC" w:rsidRDefault="005505D9" w:rsidP="00550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Thereafter 30 days prior to any future contracts</w:t>
            </w:r>
          </w:p>
        </w:tc>
      </w:tr>
      <w:tr w:rsidR="00A8012F" w:rsidRPr="00FB2517" w14:paraId="45D513F3" w14:textId="77777777" w:rsidTr="007810E0">
        <w:tc>
          <w:tcPr>
            <w:tcW w:w="625" w:type="dxa"/>
            <w:shd w:val="clear" w:color="auto" w:fill="D9D9D9" w:themeFill="background1" w:themeFillShade="D9"/>
          </w:tcPr>
          <w:p w14:paraId="6EFA8FE2" w14:textId="42F999E2" w:rsidR="006020BB" w:rsidRDefault="00A760EE" w:rsidP="00602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ED1FB" w14:textId="66D8B300" w:rsidR="006020BB" w:rsidRDefault="00815D20" w:rsidP="0060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</w:t>
            </w:r>
            <w:r w:rsidRPr="00815D20">
              <w:rPr>
                <w:sz w:val="20"/>
                <w:szCs w:val="20"/>
              </w:rPr>
              <w:t xml:space="preserve"> a monitoring procedure/protocol to frequently carry out inspections on monitor high-risk  primary suppliers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7A4DD8" w14:textId="7FFF92E0" w:rsidR="006020BB" w:rsidRDefault="006020BB" w:rsidP="00602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Third party supplier </w:t>
            </w:r>
            <w:r w:rsidR="003A0A0E">
              <w:rPr>
                <w:sz w:val="20"/>
                <w:szCs w:val="20"/>
              </w:rPr>
              <w:t xml:space="preserve">monitoring procedure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093222" w14:textId="71178700" w:rsidR="006020BB" w:rsidRPr="00B716BC" w:rsidRDefault="006020BB" w:rsidP="006020BB">
            <w:pPr>
              <w:rPr>
                <w:sz w:val="20"/>
                <w:szCs w:val="20"/>
              </w:rPr>
            </w:pPr>
            <w:r w:rsidRPr="00FB2517">
              <w:rPr>
                <w:sz w:val="20"/>
                <w:szCs w:val="20"/>
              </w:rPr>
              <w:t xml:space="preserve">60 days after effective date of contract guarantee </w:t>
            </w:r>
          </w:p>
        </w:tc>
      </w:tr>
      <w:tr w:rsidR="007810E0" w:rsidRPr="00FB2517" w14:paraId="1225D81C" w14:textId="77777777" w:rsidTr="007810E0">
        <w:tc>
          <w:tcPr>
            <w:tcW w:w="625" w:type="dxa"/>
            <w:shd w:val="clear" w:color="auto" w:fill="D9D9D9" w:themeFill="background1" w:themeFillShade="D9"/>
          </w:tcPr>
          <w:p w14:paraId="7A923405" w14:textId="77777777" w:rsidR="007810E0" w:rsidRDefault="007810E0" w:rsidP="006020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5" w:type="dxa"/>
            <w:gridSpan w:val="3"/>
            <w:shd w:val="clear" w:color="auto" w:fill="B4C6E7" w:themeFill="accent1" w:themeFillTint="66"/>
          </w:tcPr>
          <w:p w14:paraId="1F0807F4" w14:textId="307994BA" w:rsidR="007810E0" w:rsidRPr="00FB2517" w:rsidRDefault="007810E0" w:rsidP="006020BB">
            <w:pPr>
              <w:rPr>
                <w:sz w:val="20"/>
                <w:szCs w:val="20"/>
              </w:rPr>
            </w:pPr>
            <w:r w:rsidRPr="007810E0">
              <w:rPr>
                <w:b/>
                <w:bCs/>
                <w:sz w:val="20"/>
                <w:szCs w:val="20"/>
              </w:rPr>
              <w:t>Performance Standard 3: Resource Efficiency and Pollution Prevention</w:t>
            </w:r>
          </w:p>
        </w:tc>
      </w:tr>
      <w:tr w:rsidR="00A8012F" w:rsidRPr="00FB2517" w14:paraId="37601F60" w14:textId="77777777" w:rsidTr="00C830DC">
        <w:tc>
          <w:tcPr>
            <w:tcW w:w="625" w:type="dxa"/>
            <w:shd w:val="clear" w:color="auto" w:fill="D9D9D9" w:themeFill="background1" w:themeFillShade="D9"/>
          </w:tcPr>
          <w:p w14:paraId="42CA188D" w14:textId="7C9156FA" w:rsidR="00D472D1" w:rsidRDefault="00A760EE" w:rsidP="00D472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6916" w:type="dxa"/>
            <w:shd w:val="clear" w:color="auto" w:fill="FFFFFF" w:themeFill="background1"/>
          </w:tcPr>
          <w:p w14:paraId="5E1CB4B5" w14:textId="7BCFBC2D" w:rsidR="00D472D1" w:rsidRDefault="00D472D1" w:rsidP="00D4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</w:t>
            </w:r>
            <w:r w:rsidRPr="00330DE0">
              <w:rPr>
                <w:sz w:val="20"/>
                <w:szCs w:val="20"/>
              </w:rPr>
              <w:t xml:space="preserve"> that there are proper waste management measures related to the disposal of infectious waste from service providers</w:t>
            </w:r>
            <w:r w:rsidR="00475B01">
              <w:rPr>
                <w:sz w:val="20"/>
                <w:szCs w:val="20"/>
              </w:rPr>
              <w:t xml:space="preserve"> and that the waste is disposed </w:t>
            </w:r>
            <w:r w:rsidR="009374C4">
              <w:rPr>
                <w:sz w:val="20"/>
                <w:szCs w:val="20"/>
              </w:rPr>
              <w:t>of</w:t>
            </w:r>
            <w:r w:rsidR="00475B01">
              <w:rPr>
                <w:sz w:val="20"/>
                <w:szCs w:val="20"/>
              </w:rPr>
              <w:t xml:space="preserve"> in an environmentally sound manner </w:t>
            </w:r>
          </w:p>
        </w:tc>
        <w:tc>
          <w:tcPr>
            <w:tcW w:w="0" w:type="auto"/>
          </w:tcPr>
          <w:p w14:paraId="0E4D7BA4" w14:textId="52A78697" w:rsidR="00D472D1" w:rsidRDefault="00DE6730" w:rsidP="00D472D1">
            <w:pPr>
              <w:rPr>
                <w:sz w:val="20"/>
                <w:szCs w:val="20"/>
              </w:rPr>
            </w:pPr>
            <w:r>
              <w:t>C</w:t>
            </w:r>
            <w:r w:rsidRPr="00DE6730">
              <w:rPr>
                <w:sz w:val="20"/>
                <w:szCs w:val="20"/>
              </w:rPr>
              <w:t xml:space="preserve">opies of the minutes of the contracts </w:t>
            </w:r>
            <w:r>
              <w:rPr>
                <w:sz w:val="20"/>
                <w:szCs w:val="20"/>
              </w:rPr>
              <w:t xml:space="preserve">with evidence of </w:t>
            </w:r>
            <w:r w:rsidRPr="00DE6730">
              <w:rPr>
                <w:sz w:val="20"/>
                <w:szCs w:val="20"/>
              </w:rPr>
              <w:t>the inclusion of a clause related to the compliance of the appropriate measures for waste management</w:t>
            </w:r>
          </w:p>
        </w:tc>
        <w:tc>
          <w:tcPr>
            <w:tcW w:w="0" w:type="auto"/>
          </w:tcPr>
          <w:p w14:paraId="4D8D0E08" w14:textId="7B9953A5" w:rsidR="00D472D1" w:rsidRPr="00FB2517" w:rsidRDefault="00D472D1" w:rsidP="00D472D1">
            <w:pPr>
              <w:rPr>
                <w:sz w:val="20"/>
                <w:szCs w:val="20"/>
              </w:rPr>
            </w:pPr>
            <w:r w:rsidRPr="00FB2517">
              <w:rPr>
                <w:sz w:val="20"/>
                <w:szCs w:val="20"/>
              </w:rPr>
              <w:t xml:space="preserve">60 days after effective date of contract guarantee </w:t>
            </w:r>
          </w:p>
        </w:tc>
      </w:tr>
    </w:tbl>
    <w:p w14:paraId="403D5688" w14:textId="77777777" w:rsidR="00A9167A" w:rsidRDefault="00F212E6"/>
    <w:sectPr w:rsidR="00A9167A" w:rsidSect="00C4667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FC072" w14:textId="77777777" w:rsidR="00FC59E4" w:rsidRDefault="00FC59E4" w:rsidP="00C46677">
      <w:r>
        <w:separator/>
      </w:r>
    </w:p>
  </w:endnote>
  <w:endnote w:type="continuationSeparator" w:id="0">
    <w:p w14:paraId="2E33F295" w14:textId="77777777" w:rsidR="00FC59E4" w:rsidRDefault="00FC59E4" w:rsidP="00C46677">
      <w:r>
        <w:continuationSeparator/>
      </w:r>
    </w:p>
  </w:endnote>
  <w:endnote w:type="continuationNotice" w:id="1">
    <w:p w14:paraId="5B5CF652" w14:textId="77777777" w:rsidR="00FC59E4" w:rsidRDefault="00FC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8978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4CA8D" w14:textId="6CE4EFD8" w:rsidR="00920DD7" w:rsidRDefault="00920D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148C9" w14:textId="77777777" w:rsidR="00312B2F" w:rsidRDefault="0031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2171C" w14:textId="77777777" w:rsidR="00FC59E4" w:rsidRDefault="00FC59E4" w:rsidP="00C46677">
      <w:r>
        <w:separator/>
      </w:r>
    </w:p>
  </w:footnote>
  <w:footnote w:type="continuationSeparator" w:id="0">
    <w:p w14:paraId="3649166A" w14:textId="77777777" w:rsidR="00FC59E4" w:rsidRDefault="00FC59E4" w:rsidP="00C46677">
      <w:r>
        <w:continuationSeparator/>
      </w:r>
    </w:p>
  </w:footnote>
  <w:footnote w:type="continuationNotice" w:id="1">
    <w:p w14:paraId="36B0FE67" w14:textId="77777777" w:rsidR="00FC59E4" w:rsidRDefault="00FC5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400F7" w14:textId="7EAB2271" w:rsidR="00717AF0" w:rsidRDefault="00717AF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553D91" wp14:editId="0F27A88A">
          <wp:simplePos x="0" y="0"/>
          <wp:positionH relativeFrom="column">
            <wp:posOffset>0</wp:posOffset>
          </wp:positionH>
          <wp:positionV relativeFrom="paragraph">
            <wp:posOffset>175260</wp:posOffset>
          </wp:positionV>
          <wp:extent cx="3460115" cy="588010"/>
          <wp:effectExtent l="0" t="0" r="698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11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77"/>
    <w:rsid w:val="00074BBB"/>
    <w:rsid w:val="000822AB"/>
    <w:rsid w:val="000955BE"/>
    <w:rsid w:val="00095DEC"/>
    <w:rsid w:val="000C058F"/>
    <w:rsid w:val="00123FF4"/>
    <w:rsid w:val="0014130E"/>
    <w:rsid w:val="00147A28"/>
    <w:rsid w:val="00153D32"/>
    <w:rsid w:val="00154842"/>
    <w:rsid w:val="00163A53"/>
    <w:rsid w:val="00172B68"/>
    <w:rsid w:val="001737B9"/>
    <w:rsid w:val="00182655"/>
    <w:rsid w:val="001A19BE"/>
    <w:rsid w:val="001B7ADD"/>
    <w:rsid w:val="001C7DAC"/>
    <w:rsid w:val="001E5365"/>
    <w:rsid w:val="00213CE8"/>
    <w:rsid w:val="00234A93"/>
    <w:rsid w:val="00252D84"/>
    <w:rsid w:val="002618E3"/>
    <w:rsid w:val="00271CD2"/>
    <w:rsid w:val="00272A40"/>
    <w:rsid w:val="00280B09"/>
    <w:rsid w:val="00285120"/>
    <w:rsid w:val="002A0DD0"/>
    <w:rsid w:val="002E1A49"/>
    <w:rsid w:val="00312B2F"/>
    <w:rsid w:val="00323D0D"/>
    <w:rsid w:val="00330DE0"/>
    <w:rsid w:val="003517C6"/>
    <w:rsid w:val="00385303"/>
    <w:rsid w:val="00394D3F"/>
    <w:rsid w:val="00395327"/>
    <w:rsid w:val="003A0A0E"/>
    <w:rsid w:val="003A431E"/>
    <w:rsid w:val="003B0EC5"/>
    <w:rsid w:val="003C7860"/>
    <w:rsid w:val="003D3DCE"/>
    <w:rsid w:val="003E77C5"/>
    <w:rsid w:val="00400F77"/>
    <w:rsid w:val="00411810"/>
    <w:rsid w:val="004230A3"/>
    <w:rsid w:val="00445700"/>
    <w:rsid w:val="00446AFE"/>
    <w:rsid w:val="00457CB8"/>
    <w:rsid w:val="00463D18"/>
    <w:rsid w:val="0046467F"/>
    <w:rsid w:val="0046645B"/>
    <w:rsid w:val="00475B01"/>
    <w:rsid w:val="004A1BDB"/>
    <w:rsid w:val="004C77F2"/>
    <w:rsid w:val="004D4A2E"/>
    <w:rsid w:val="004D4CBD"/>
    <w:rsid w:val="004D72C2"/>
    <w:rsid w:val="004F2B16"/>
    <w:rsid w:val="0050117B"/>
    <w:rsid w:val="0050259E"/>
    <w:rsid w:val="00506C2B"/>
    <w:rsid w:val="00512CDD"/>
    <w:rsid w:val="0051550A"/>
    <w:rsid w:val="0051569A"/>
    <w:rsid w:val="0052463A"/>
    <w:rsid w:val="00524DCD"/>
    <w:rsid w:val="00534AD4"/>
    <w:rsid w:val="00547893"/>
    <w:rsid w:val="00547B14"/>
    <w:rsid w:val="00547D88"/>
    <w:rsid w:val="005505D9"/>
    <w:rsid w:val="00557CEB"/>
    <w:rsid w:val="005648C0"/>
    <w:rsid w:val="00571FA1"/>
    <w:rsid w:val="005876BB"/>
    <w:rsid w:val="0059255D"/>
    <w:rsid w:val="005B062F"/>
    <w:rsid w:val="005F4C66"/>
    <w:rsid w:val="005F771D"/>
    <w:rsid w:val="006020BB"/>
    <w:rsid w:val="00613BEB"/>
    <w:rsid w:val="0062454F"/>
    <w:rsid w:val="006247FD"/>
    <w:rsid w:val="00641037"/>
    <w:rsid w:val="00641D94"/>
    <w:rsid w:val="006634FD"/>
    <w:rsid w:val="00666EC2"/>
    <w:rsid w:val="006700DC"/>
    <w:rsid w:val="0067165F"/>
    <w:rsid w:val="006A42D5"/>
    <w:rsid w:val="006A4B23"/>
    <w:rsid w:val="006B169E"/>
    <w:rsid w:val="006F30F8"/>
    <w:rsid w:val="006F3A07"/>
    <w:rsid w:val="00717AF0"/>
    <w:rsid w:val="007272C1"/>
    <w:rsid w:val="00754A47"/>
    <w:rsid w:val="007552F3"/>
    <w:rsid w:val="00757E0F"/>
    <w:rsid w:val="007642E1"/>
    <w:rsid w:val="007810E0"/>
    <w:rsid w:val="007814C7"/>
    <w:rsid w:val="007820D4"/>
    <w:rsid w:val="007A3C77"/>
    <w:rsid w:val="007A7CDC"/>
    <w:rsid w:val="007E4318"/>
    <w:rsid w:val="00810492"/>
    <w:rsid w:val="00815D20"/>
    <w:rsid w:val="008208C6"/>
    <w:rsid w:val="00823CF3"/>
    <w:rsid w:val="00824E5D"/>
    <w:rsid w:val="008274AA"/>
    <w:rsid w:val="00827789"/>
    <w:rsid w:val="00850AFC"/>
    <w:rsid w:val="00861C04"/>
    <w:rsid w:val="00867BFC"/>
    <w:rsid w:val="0087458B"/>
    <w:rsid w:val="00890EE2"/>
    <w:rsid w:val="008925CD"/>
    <w:rsid w:val="00894793"/>
    <w:rsid w:val="00897720"/>
    <w:rsid w:val="008D6B28"/>
    <w:rsid w:val="008E4B76"/>
    <w:rsid w:val="00910406"/>
    <w:rsid w:val="00910C47"/>
    <w:rsid w:val="00920DD7"/>
    <w:rsid w:val="009312DA"/>
    <w:rsid w:val="009374C4"/>
    <w:rsid w:val="009423EC"/>
    <w:rsid w:val="009724A0"/>
    <w:rsid w:val="00973AA9"/>
    <w:rsid w:val="009D1CC5"/>
    <w:rsid w:val="009E04A6"/>
    <w:rsid w:val="00A201A1"/>
    <w:rsid w:val="00A23114"/>
    <w:rsid w:val="00A25CB3"/>
    <w:rsid w:val="00A278BE"/>
    <w:rsid w:val="00A36604"/>
    <w:rsid w:val="00A53B2C"/>
    <w:rsid w:val="00A5585A"/>
    <w:rsid w:val="00A676EA"/>
    <w:rsid w:val="00A677B7"/>
    <w:rsid w:val="00A727B9"/>
    <w:rsid w:val="00A760EE"/>
    <w:rsid w:val="00A8012F"/>
    <w:rsid w:val="00A92713"/>
    <w:rsid w:val="00A9348B"/>
    <w:rsid w:val="00A963EE"/>
    <w:rsid w:val="00AA0D72"/>
    <w:rsid w:val="00AC6873"/>
    <w:rsid w:val="00AD33C5"/>
    <w:rsid w:val="00AD4E1E"/>
    <w:rsid w:val="00AE12E6"/>
    <w:rsid w:val="00AF2A9C"/>
    <w:rsid w:val="00B002F2"/>
    <w:rsid w:val="00B00622"/>
    <w:rsid w:val="00B155ED"/>
    <w:rsid w:val="00B16439"/>
    <w:rsid w:val="00B65C65"/>
    <w:rsid w:val="00B71179"/>
    <w:rsid w:val="00B716BC"/>
    <w:rsid w:val="00B74589"/>
    <w:rsid w:val="00B873DF"/>
    <w:rsid w:val="00BB1B27"/>
    <w:rsid w:val="00BE3EDD"/>
    <w:rsid w:val="00C02EAE"/>
    <w:rsid w:val="00C02F64"/>
    <w:rsid w:val="00C04C4B"/>
    <w:rsid w:val="00C05D7B"/>
    <w:rsid w:val="00C408AB"/>
    <w:rsid w:val="00C46677"/>
    <w:rsid w:val="00C73C0B"/>
    <w:rsid w:val="00C87C19"/>
    <w:rsid w:val="00CA1BD1"/>
    <w:rsid w:val="00CE5152"/>
    <w:rsid w:val="00CF7B9D"/>
    <w:rsid w:val="00D472D1"/>
    <w:rsid w:val="00DA491E"/>
    <w:rsid w:val="00DA512B"/>
    <w:rsid w:val="00DB530F"/>
    <w:rsid w:val="00DC27B8"/>
    <w:rsid w:val="00DE4494"/>
    <w:rsid w:val="00DE6730"/>
    <w:rsid w:val="00DF0CEB"/>
    <w:rsid w:val="00E006DC"/>
    <w:rsid w:val="00E2200D"/>
    <w:rsid w:val="00E26138"/>
    <w:rsid w:val="00E36492"/>
    <w:rsid w:val="00E64AD0"/>
    <w:rsid w:val="00E87153"/>
    <w:rsid w:val="00EB0F2B"/>
    <w:rsid w:val="00EB6202"/>
    <w:rsid w:val="00EE0F36"/>
    <w:rsid w:val="00F20B68"/>
    <w:rsid w:val="00F212E6"/>
    <w:rsid w:val="00F233D7"/>
    <w:rsid w:val="00F5150E"/>
    <w:rsid w:val="00F64A93"/>
    <w:rsid w:val="00F9038D"/>
    <w:rsid w:val="00FB2517"/>
    <w:rsid w:val="00FB790E"/>
    <w:rsid w:val="00FC59E4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91378F"/>
  <w15:chartTrackingRefBased/>
  <w15:docId w15:val="{6773F701-22CB-4F8E-8174-72ED330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6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7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A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7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AF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Bullet Answer,List Paragraph1,Akapit z listą BS,List Paragraph 1,List Paragraph (numbered (a)),Use Case List Paragraph,Bullets,References,Liste 1,Numbered List Paragraph,ReferencesCxSpLast,Medium Grid 1 - Accent 21,List Paragraph nowy"/>
    <w:basedOn w:val="Normal"/>
    <w:link w:val="ListParagraphChar"/>
    <w:uiPriority w:val="34"/>
    <w:qFormat/>
    <w:rsid w:val="003A431E"/>
    <w:pPr>
      <w:ind w:left="720"/>
      <w:contextualSpacing/>
    </w:pPr>
    <w:rPr>
      <w:rFonts w:ascii="Constantia" w:hAnsi="Constantia"/>
      <w:sz w:val="22"/>
      <w:szCs w:val="20"/>
    </w:rPr>
  </w:style>
  <w:style w:type="character" w:customStyle="1" w:styleId="ListParagraphChar">
    <w:name w:val="List Paragraph Char"/>
    <w:aliases w:val="Bullet Answer Char,List Paragraph1 Char,Akapit z listą BS Char,List Paragraph 1 Char,List Paragraph (numbered (a)) Char,Use Case List Paragraph Char,Bullets Char,References Char,Liste 1 Char,Numbered List Paragraph Char"/>
    <w:basedOn w:val="DefaultParagraphFont"/>
    <w:link w:val="ListParagraph"/>
    <w:uiPriority w:val="34"/>
    <w:qFormat/>
    <w:locked/>
    <w:rsid w:val="003A431E"/>
    <w:rPr>
      <w:rFonts w:ascii="Constantia" w:eastAsia="Times New Roman" w:hAnsi="Constantia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4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A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A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A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9502222CF4244B3C1EFD229944F01" ma:contentTypeVersion="13" ma:contentTypeDescription="Create a new document." ma:contentTypeScope="" ma:versionID="746f20d7fba2f264ae36545fd8230de2">
  <xsd:schema xmlns:xsd="http://www.w3.org/2001/XMLSchema" xmlns:xs="http://www.w3.org/2001/XMLSchema" xmlns:p="http://schemas.microsoft.com/office/2006/metadata/properties" xmlns:ns3="c3b97844-033e-4eaf-8675-6429e7f0ac39" xmlns:ns4="50e9c9ed-4ab6-41d7-8a0b-406a50c63262" targetNamespace="http://schemas.microsoft.com/office/2006/metadata/properties" ma:root="true" ma:fieldsID="7a5715437efb132cce35885bf6d1d8e4" ns3:_="" ns4:_="">
    <xsd:import namespace="c3b97844-033e-4eaf-8675-6429e7f0ac39"/>
    <xsd:import namespace="50e9c9ed-4ab6-41d7-8a0b-406a50c632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97844-033e-4eaf-8675-6429e7f0a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9c9ed-4ab6-41d7-8a0b-406a50c63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8A209-09D7-4B4E-8693-65D4F530D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E7185A-212B-4059-BF1D-D1CB861A1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B2CB3-22A1-4207-8928-ACF73FDFD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97844-033e-4eaf-8675-6429e7f0ac39"/>
    <ds:schemaRef ds:uri="50e9c9ed-4ab6-41d7-8a0b-406a50c63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Wanjiku Mwangi Githinji</dc:creator>
  <cp:keywords/>
  <dc:description/>
  <cp:lastModifiedBy>Wanjiku Mwangi Githinji</cp:lastModifiedBy>
  <cp:revision>14</cp:revision>
  <dcterms:created xsi:type="dcterms:W3CDTF">2021-05-05T17:45:00Z</dcterms:created>
  <dcterms:modified xsi:type="dcterms:W3CDTF">2021-05-20T09:59:00Z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0x010100D8D9502222CF4244B3C1EFD229944F01</vt:lpwstr>
  </property>
</Properties>
</file>