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226E" w14:textId="77777777" w:rsidR="00444B7C" w:rsidRDefault="00444B7C" w:rsidP="00444B7C">
      <w:pPr>
        <w:rPr>
          <w:sz w:val="22"/>
          <w:szCs w:val="22"/>
        </w:rPr>
      </w:pPr>
      <w:r>
        <w:rPr>
          <w:sz w:val="22"/>
          <w:szCs w:val="22"/>
        </w:rPr>
        <w:t>Surpapel (Ecuador) Environmental and Social Action Plan (May 22, 2020)</w:t>
      </w:r>
    </w:p>
    <w:p w14:paraId="2C39C0CF" w14:textId="77777777" w:rsidR="00444B7C" w:rsidRDefault="00444B7C" w:rsidP="00444B7C">
      <w:pPr>
        <w:rPr>
          <w:sz w:val="22"/>
          <w:szCs w:val="22"/>
        </w:rPr>
      </w:pPr>
    </w:p>
    <w:tbl>
      <w:tblPr>
        <w:tblStyle w:val="TableGrid"/>
        <w:tblW w:w="12325" w:type="dxa"/>
        <w:tblLook w:val="04A0" w:firstRow="1" w:lastRow="0" w:firstColumn="1" w:lastColumn="0" w:noHBand="0" w:noVBand="1"/>
      </w:tblPr>
      <w:tblGrid>
        <w:gridCol w:w="809"/>
        <w:gridCol w:w="6296"/>
        <w:gridCol w:w="5220"/>
      </w:tblGrid>
      <w:tr w:rsidR="00444B7C" w:rsidRPr="00C93057" w14:paraId="707FE93A" w14:textId="77777777" w:rsidTr="00444B7C">
        <w:tc>
          <w:tcPr>
            <w:tcW w:w="809" w:type="dxa"/>
            <w:vAlign w:val="center"/>
          </w:tcPr>
          <w:p w14:paraId="3EA69FF0" w14:textId="77777777" w:rsidR="00444B7C" w:rsidRPr="00C93057" w:rsidRDefault="00444B7C" w:rsidP="00E82D28">
            <w:pPr>
              <w:rPr>
                <w:rFonts w:asciiTheme="minorHAnsi" w:hAnsiTheme="minorHAnsi" w:cstheme="minorHAnsi"/>
                <w:b/>
                <w:bCs/>
                <w:sz w:val="22"/>
                <w:szCs w:val="22"/>
              </w:rPr>
            </w:pPr>
            <w:r w:rsidRPr="00C93057">
              <w:rPr>
                <w:rFonts w:asciiTheme="minorHAnsi" w:hAnsiTheme="minorHAnsi" w:cstheme="minorHAnsi"/>
                <w:b/>
                <w:bCs/>
                <w:sz w:val="22"/>
                <w:szCs w:val="22"/>
              </w:rPr>
              <w:t>Action #</w:t>
            </w:r>
          </w:p>
        </w:tc>
        <w:tc>
          <w:tcPr>
            <w:tcW w:w="6296" w:type="dxa"/>
            <w:vAlign w:val="center"/>
          </w:tcPr>
          <w:p w14:paraId="195292C1" w14:textId="77777777" w:rsidR="00444B7C" w:rsidRPr="00C93057" w:rsidRDefault="00444B7C" w:rsidP="00E82D28">
            <w:pPr>
              <w:rPr>
                <w:rFonts w:asciiTheme="minorHAnsi" w:hAnsiTheme="minorHAnsi" w:cstheme="minorHAnsi"/>
                <w:b/>
                <w:bCs/>
                <w:sz w:val="22"/>
                <w:szCs w:val="22"/>
              </w:rPr>
            </w:pPr>
            <w:r w:rsidRPr="00C93057">
              <w:rPr>
                <w:rFonts w:asciiTheme="minorHAnsi" w:hAnsiTheme="minorHAnsi" w:cstheme="minorHAnsi"/>
                <w:b/>
                <w:bCs/>
                <w:sz w:val="22"/>
                <w:szCs w:val="22"/>
              </w:rPr>
              <w:t>Type of Action</w:t>
            </w:r>
          </w:p>
        </w:tc>
        <w:tc>
          <w:tcPr>
            <w:tcW w:w="5220" w:type="dxa"/>
            <w:vAlign w:val="center"/>
          </w:tcPr>
          <w:p w14:paraId="0FD4C46B" w14:textId="77777777" w:rsidR="00444B7C" w:rsidRPr="00C93057" w:rsidRDefault="00444B7C" w:rsidP="00E82D28">
            <w:pPr>
              <w:rPr>
                <w:rFonts w:asciiTheme="minorHAnsi" w:hAnsiTheme="minorHAnsi" w:cstheme="minorHAnsi"/>
                <w:b/>
                <w:bCs/>
                <w:sz w:val="22"/>
                <w:szCs w:val="22"/>
              </w:rPr>
            </w:pPr>
            <w:r w:rsidRPr="00C93057">
              <w:rPr>
                <w:rFonts w:asciiTheme="minorHAnsi" w:hAnsiTheme="minorHAnsi" w:cstheme="minorHAnsi"/>
                <w:b/>
                <w:bCs/>
                <w:sz w:val="22"/>
                <w:szCs w:val="22"/>
              </w:rPr>
              <w:t>Deliverable</w:t>
            </w:r>
          </w:p>
        </w:tc>
      </w:tr>
      <w:tr w:rsidR="00444B7C" w:rsidRPr="000817F4" w14:paraId="41FFAC37" w14:textId="77777777" w:rsidTr="00E82D28">
        <w:tc>
          <w:tcPr>
            <w:tcW w:w="12325" w:type="dxa"/>
            <w:gridSpan w:val="3"/>
          </w:tcPr>
          <w:p w14:paraId="76234449" w14:textId="77777777" w:rsidR="00444B7C" w:rsidRPr="000817F4" w:rsidRDefault="00444B7C" w:rsidP="00E82D28">
            <w:pPr>
              <w:rPr>
                <w:rFonts w:asciiTheme="minorHAnsi" w:hAnsiTheme="minorHAnsi" w:cstheme="minorHAnsi"/>
                <w:sz w:val="22"/>
                <w:szCs w:val="22"/>
              </w:rPr>
            </w:pPr>
            <w:r w:rsidRPr="00EA7604">
              <w:rPr>
                <w:rFonts w:asciiTheme="minorHAnsi" w:hAnsiTheme="minorHAnsi" w:cstheme="minorHAnsi"/>
                <w:b/>
                <w:bCs/>
                <w:sz w:val="22"/>
                <w:szCs w:val="22"/>
              </w:rPr>
              <w:t>PS 1:  Assessment and Management of Environmental and Social Risks and Impacts</w:t>
            </w:r>
          </w:p>
        </w:tc>
      </w:tr>
      <w:tr w:rsidR="00444B7C" w:rsidRPr="000817F4" w14:paraId="0C2E061F" w14:textId="77777777" w:rsidTr="00444B7C">
        <w:tc>
          <w:tcPr>
            <w:tcW w:w="809" w:type="dxa"/>
          </w:tcPr>
          <w:p w14:paraId="087E9206"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7AB4B410" w14:textId="77777777" w:rsidR="00444B7C" w:rsidRPr="000817F4" w:rsidRDefault="00444B7C" w:rsidP="00E82D28">
            <w:pPr>
              <w:pStyle w:val="Default"/>
              <w:rPr>
                <w:rFonts w:asciiTheme="minorHAnsi" w:hAnsiTheme="minorHAnsi" w:cstheme="minorHAnsi"/>
                <w:color w:val="auto"/>
                <w:sz w:val="22"/>
                <w:szCs w:val="22"/>
              </w:rPr>
            </w:pPr>
            <w:r w:rsidRPr="000817F4">
              <w:rPr>
                <w:rFonts w:asciiTheme="minorHAnsi" w:hAnsiTheme="minorHAnsi" w:cstheme="minorHAnsi"/>
                <w:color w:val="auto"/>
                <w:sz w:val="22"/>
                <w:szCs w:val="22"/>
              </w:rPr>
              <w:t xml:space="preserve">Strengthen and implement the corporate environmental and social management system (ESMS) at the Surpapel Group companies in line with the requirements of Performance Standard 1 (“PS1”), including integration of supply chain management (covered under Performance Standard 2) and climate risk.  </w:t>
            </w:r>
          </w:p>
        </w:tc>
        <w:tc>
          <w:tcPr>
            <w:tcW w:w="5220" w:type="dxa"/>
          </w:tcPr>
          <w:p w14:paraId="016CB963"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ESMS manual (draft), which includes a procedure to identify and manage potential climate risks</w:t>
            </w:r>
          </w:p>
          <w:p w14:paraId="4310A9E9" w14:textId="77777777" w:rsidR="00444B7C" w:rsidRPr="000817F4" w:rsidRDefault="00444B7C" w:rsidP="00E82D28">
            <w:pPr>
              <w:rPr>
                <w:rFonts w:asciiTheme="minorHAnsi" w:hAnsiTheme="minorHAnsi" w:cstheme="minorHAnsi"/>
                <w:sz w:val="22"/>
                <w:szCs w:val="22"/>
              </w:rPr>
            </w:pPr>
          </w:p>
          <w:p w14:paraId="71532A28"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ESMS manual (final)</w:t>
            </w:r>
          </w:p>
          <w:p w14:paraId="1E853605" w14:textId="77777777" w:rsidR="00444B7C" w:rsidRPr="000817F4" w:rsidRDefault="00444B7C" w:rsidP="00E82D28">
            <w:pPr>
              <w:rPr>
                <w:rFonts w:asciiTheme="minorHAnsi" w:hAnsiTheme="minorHAnsi" w:cstheme="minorHAnsi"/>
                <w:sz w:val="22"/>
                <w:szCs w:val="22"/>
              </w:rPr>
            </w:pPr>
          </w:p>
          <w:p w14:paraId="77763076" w14:textId="77777777" w:rsidR="00444B7C" w:rsidRPr="000817F4" w:rsidRDefault="00444B7C" w:rsidP="00E82D28">
            <w:pPr>
              <w:rPr>
                <w:rFonts w:asciiTheme="minorHAnsi" w:hAnsiTheme="minorHAnsi" w:cstheme="minorHAnsi"/>
                <w:sz w:val="22"/>
                <w:szCs w:val="22"/>
              </w:rPr>
            </w:pPr>
          </w:p>
        </w:tc>
      </w:tr>
      <w:tr w:rsidR="00444B7C" w:rsidRPr="000817F4" w14:paraId="231C64ED" w14:textId="77777777" w:rsidTr="00444B7C">
        <w:tc>
          <w:tcPr>
            <w:tcW w:w="809" w:type="dxa"/>
          </w:tcPr>
          <w:p w14:paraId="5CAD926D"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09D73E29"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Carry out a review of environmental and social resources and capacity to determine sufficiency to implement and monitor the E&amp;S management system and to implement the ESAP.</w:t>
            </w:r>
          </w:p>
        </w:tc>
        <w:tc>
          <w:tcPr>
            <w:tcW w:w="5220" w:type="dxa"/>
          </w:tcPr>
          <w:p w14:paraId="21786737"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 xml:space="preserve">Evidence of </w:t>
            </w:r>
            <w:proofErr w:type="gramStart"/>
            <w:r w:rsidRPr="000817F4">
              <w:rPr>
                <w:rFonts w:asciiTheme="minorHAnsi" w:hAnsiTheme="minorHAnsi" w:cstheme="minorHAnsi"/>
                <w:sz w:val="22"/>
                <w:szCs w:val="22"/>
              </w:rPr>
              <w:t>sufficient</w:t>
            </w:r>
            <w:proofErr w:type="gramEnd"/>
            <w:r w:rsidRPr="000817F4">
              <w:rPr>
                <w:rFonts w:asciiTheme="minorHAnsi" w:hAnsiTheme="minorHAnsi" w:cstheme="minorHAnsi"/>
                <w:sz w:val="22"/>
                <w:szCs w:val="22"/>
              </w:rPr>
              <w:t xml:space="preserve"> staffing with competent and qualified staff.</w:t>
            </w:r>
          </w:p>
        </w:tc>
      </w:tr>
      <w:tr w:rsidR="00444B7C" w:rsidRPr="000817F4" w14:paraId="3DA8F120" w14:textId="77777777" w:rsidTr="00444B7C">
        <w:tc>
          <w:tcPr>
            <w:tcW w:w="809" w:type="dxa"/>
          </w:tcPr>
          <w:p w14:paraId="13589791"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48BB4362"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Carry out stakeholder mapping for Surpapel and Repapers. Define and implement a policy and procedure to identify stakeholders and communication mechanisms, including a grievance mechanism, in line with PS 1.  The stakeholder engagement plan will include a mechanism to report on E&amp;S performance.</w:t>
            </w:r>
          </w:p>
        </w:tc>
        <w:tc>
          <w:tcPr>
            <w:tcW w:w="5220" w:type="dxa"/>
          </w:tcPr>
          <w:p w14:paraId="5314D8CC"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Stakeholder mapping for Surpapel and Repapers</w:t>
            </w:r>
          </w:p>
          <w:p w14:paraId="61CDEDEA" w14:textId="77777777" w:rsidR="00444B7C" w:rsidRPr="000817F4" w:rsidRDefault="00444B7C" w:rsidP="00E82D28">
            <w:pPr>
              <w:rPr>
                <w:rFonts w:asciiTheme="minorHAnsi" w:hAnsiTheme="minorHAnsi" w:cstheme="minorHAnsi"/>
                <w:sz w:val="22"/>
                <w:szCs w:val="22"/>
              </w:rPr>
            </w:pPr>
          </w:p>
          <w:p w14:paraId="342D01C0"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Stakeholder engagement plan for Surpapel and Repapers, including grievance mechanism and E&amp;S reporting mechanism</w:t>
            </w:r>
            <w:r>
              <w:rPr>
                <w:rFonts w:asciiTheme="minorHAnsi" w:hAnsiTheme="minorHAnsi" w:cstheme="minorHAnsi"/>
                <w:sz w:val="22"/>
                <w:szCs w:val="22"/>
              </w:rPr>
              <w:t>.</w:t>
            </w:r>
          </w:p>
        </w:tc>
      </w:tr>
      <w:tr w:rsidR="00444B7C" w:rsidRPr="000817F4" w14:paraId="0192112A" w14:textId="77777777" w:rsidTr="00E82D28">
        <w:tc>
          <w:tcPr>
            <w:tcW w:w="12325" w:type="dxa"/>
            <w:gridSpan w:val="3"/>
          </w:tcPr>
          <w:p w14:paraId="15373251"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b/>
                <w:bCs/>
                <w:sz w:val="22"/>
                <w:szCs w:val="22"/>
              </w:rPr>
              <w:t>PS 2:  Labor and Working Conditions</w:t>
            </w:r>
          </w:p>
        </w:tc>
      </w:tr>
      <w:tr w:rsidR="00444B7C" w:rsidRPr="000817F4" w14:paraId="7F525792" w14:textId="77777777" w:rsidTr="00444B7C">
        <w:tc>
          <w:tcPr>
            <w:tcW w:w="809" w:type="dxa"/>
          </w:tcPr>
          <w:p w14:paraId="5BA93386"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052A8F86"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Revise human resources policy and procedures to be in line with PS 2, including retrenchment, grievance mechanism, etc.</w:t>
            </w:r>
          </w:p>
        </w:tc>
        <w:tc>
          <w:tcPr>
            <w:tcW w:w="5220" w:type="dxa"/>
          </w:tcPr>
          <w:p w14:paraId="4CD0BF93"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Revised human resources policy and procedures for each company in the Surpapel Group, including retrenchment policy and grievance mechanism.</w:t>
            </w:r>
          </w:p>
        </w:tc>
      </w:tr>
      <w:tr w:rsidR="00444B7C" w:rsidRPr="000817F4" w14:paraId="33899742" w14:textId="77777777" w:rsidTr="00444B7C">
        <w:tc>
          <w:tcPr>
            <w:tcW w:w="809" w:type="dxa"/>
          </w:tcPr>
          <w:p w14:paraId="14F66ED5"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4D069F58" w14:textId="5B1596CA"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After building capacity to map suppliers, carry out mapping of Tier 1 / primary suppliers of Repapers</w:t>
            </w:r>
            <w:r>
              <w:rPr>
                <w:rFonts w:asciiTheme="minorHAnsi" w:hAnsiTheme="minorHAnsi" w:cstheme="minorHAnsi"/>
                <w:sz w:val="22"/>
                <w:szCs w:val="22"/>
              </w:rPr>
              <w:t>.</w:t>
            </w:r>
          </w:p>
        </w:tc>
        <w:tc>
          <w:tcPr>
            <w:tcW w:w="5220" w:type="dxa"/>
          </w:tcPr>
          <w:p w14:paraId="121BD521"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Hire trainers to build capacity</w:t>
            </w:r>
          </w:p>
          <w:p w14:paraId="50CC0484" w14:textId="77777777" w:rsidR="00444B7C" w:rsidRPr="000817F4" w:rsidRDefault="00444B7C" w:rsidP="00E82D28">
            <w:pPr>
              <w:rPr>
                <w:rFonts w:asciiTheme="minorHAnsi" w:hAnsiTheme="minorHAnsi" w:cstheme="minorHAnsi"/>
                <w:sz w:val="22"/>
                <w:szCs w:val="22"/>
              </w:rPr>
            </w:pPr>
          </w:p>
          <w:p w14:paraId="3DD61844"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Written evidence of training on supply chain mapping</w:t>
            </w:r>
          </w:p>
          <w:p w14:paraId="596DBA26" w14:textId="77777777" w:rsidR="00444B7C" w:rsidRPr="000817F4" w:rsidRDefault="00444B7C" w:rsidP="00E82D28">
            <w:pPr>
              <w:rPr>
                <w:rFonts w:asciiTheme="minorHAnsi" w:hAnsiTheme="minorHAnsi" w:cstheme="minorHAnsi"/>
                <w:sz w:val="22"/>
                <w:szCs w:val="22"/>
              </w:rPr>
            </w:pPr>
          </w:p>
          <w:p w14:paraId="618B2EA7"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Documented mapping of Tier 1 suppliers</w:t>
            </w:r>
          </w:p>
        </w:tc>
      </w:tr>
      <w:tr w:rsidR="00444B7C" w:rsidRPr="000817F4" w14:paraId="12BEE686" w14:textId="77777777" w:rsidTr="00444B7C">
        <w:tc>
          <w:tcPr>
            <w:tcW w:w="809" w:type="dxa"/>
          </w:tcPr>
          <w:p w14:paraId="407C899B"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04B7D5DB" w14:textId="6646B160"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Develop supplier code of conduct acceptable to MIGA for third-party suppliers of recycled local paper and cardboard</w:t>
            </w:r>
            <w:r>
              <w:rPr>
                <w:rFonts w:asciiTheme="minorHAnsi" w:hAnsiTheme="minorHAnsi" w:cstheme="minorHAnsi"/>
                <w:sz w:val="22"/>
                <w:szCs w:val="22"/>
              </w:rPr>
              <w:t>.</w:t>
            </w:r>
          </w:p>
        </w:tc>
        <w:tc>
          <w:tcPr>
            <w:tcW w:w="5220" w:type="dxa"/>
          </w:tcPr>
          <w:p w14:paraId="1B93DE2B"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Supplier Code of Conduct</w:t>
            </w:r>
          </w:p>
        </w:tc>
      </w:tr>
      <w:tr w:rsidR="00444B7C" w:rsidRPr="000817F4" w14:paraId="6D20E637" w14:textId="77777777" w:rsidTr="00444B7C">
        <w:tc>
          <w:tcPr>
            <w:tcW w:w="809" w:type="dxa"/>
          </w:tcPr>
          <w:p w14:paraId="409E606C"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16E5DC7D"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 xml:space="preserve">Develop and implement supplier agreements or guidelines at Repapers in line with the MIGA Performance Standards (“PSs”), incorporating at a minimum supplier code of conduct covering health and safety requirements, labor issues and harmful child labor and forced labor controls, and grievance mechanism in accordance with the PSs and ensure that the company grievance mechanism is accessible to the suppliers and known to them to be able to access </w:t>
            </w:r>
          </w:p>
        </w:tc>
        <w:tc>
          <w:tcPr>
            <w:tcW w:w="5220" w:type="dxa"/>
          </w:tcPr>
          <w:p w14:paraId="0B48654E"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Supplier agreement (Sample template)</w:t>
            </w:r>
          </w:p>
          <w:p w14:paraId="73631628" w14:textId="77777777" w:rsidR="00444B7C" w:rsidRPr="000817F4" w:rsidRDefault="00444B7C" w:rsidP="00E82D28">
            <w:pPr>
              <w:rPr>
                <w:rFonts w:asciiTheme="minorHAnsi" w:hAnsiTheme="minorHAnsi" w:cstheme="minorHAnsi"/>
                <w:sz w:val="22"/>
                <w:szCs w:val="22"/>
              </w:rPr>
            </w:pPr>
          </w:p>
          <w:p w14:paraId="3B55FEE8"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Evidence of implementation</w:t>
            </w:r>
          </w:p>
        </w:tc>
      </w:tr>
      <w:tr w:rsidR="00444B7C" w:rsidRPr="000817F4" w14:paraId="2F524E80" w14:textId="77777777" w:rsidTr="00444B7C">
        <w:tc>
          <w:tcPr>
            <w:tcW w:w="809" w:type="dxa"/>
          </w:tcPr>
          <w:p w14:paraId="222CC751"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2AE7214E" w14:textId="77777777" w:rsidR="00444B7C" w:rsidRPr="000817F4" w:rsidRDefault="00444B7C" w:rsidP="00E82D28">
            <w:pPr>
              <w:pStyle w:val="ListParagraph"/>
              <w:tabs>
                <w:tab w:val="left" w:pos="346"/>
              </w:tabs>
              <w:ind w:left="0"/>
              <w:rPr>
                <w:rFonts w:asciiTheme="minorHAnsi" w:hAnsiTheme="minorHAnsi" w:cstheme="minorHAnsi"/>
                <w:sz w:val="22"/>
                <w:szCs w:val="22"/>
              </w:rPr>
            </w:pPr>
            <w:r w:rsidRPr="000817F4">
              <w:rPr>
                <w:rFonts w:asciiTheme="minorHAnsi" w:hAnsiTheme="minorHAnsi" w:cstheme="minorHAnsi"/>
                <w:sz w:val="22"/>
                <w:szCs w:val="22"/>
              </w:rPr>
              <w:t>Develop a monitoring plan outlining procedures and processes to be implemented by the Project Enterprise to monitor direct suppliers for child labor and forced labor, in compliance with the PSs</w:t>
            </w:r>
            <w:r>
              <w:rPr>
                <w:rFonts w:asciiTheme="minorHAnsi" w:hAnsiTheme="minorHAnsi" w:cstheme="minorHAnsi"/>
                <w:sz w:val="22"/>
                <w:szCs w:val="22"/>
              </w:rPr>
              <w:t>.</w:t>
            </w:r>
          </w:p>
          <w:p w14:paraId="7FF56D9F" w14:textId="77777777" w:rsidR="00444B7C" w:rsidRPr="00363ED3" w:rsidRDefault="00444B7C" w:rsidP="00E82D28">
            <w:pPr>
              <w:rPr>
                <w:rFonts w:asciiTheme="minorHAnsi" w:hAnsiTheme="minorHAnsi" w:cstheme="minorHAnsi"/>
                <w:sz w:val="22"/>
                <w:szCs w:val="22"/>
              </w:rPr>
            </w:pPr>
            <w:r w:rsidRPr="00363ED3">
              <w:rPr>
                <w:rFonts w:asciiTheme="minorHAnsi" w:hAnsiTheme="minorHAnsi" w:cstheme="minorHAnsi"/>
                <w:sz w:val="22"/>
                <w:szCs w:val="22"/>
              </w:rPr>
              <w:t xml:space="preserve">Start implementation of monitoring plan </w:t>
            </w:r>
          </w:p>
        </w:tc>
        <w:tc>
          <w:tcPr>
            <w:tcW w:w="5220" w:type="dxa"/>
          </w:tcPr>
          <w:p w14:paraId="057B6720"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Monitoring plan</w:t>
            </w:r>
          </w:p>
          <w:p w14:paraId="6A2FDB90" w14:textId="77777777" w:rsidR="00444B7C" w:rsidRPr="000817F4" w:rsidRDefault="00444B7C" w:rsidP="00E82D28">
            <w:pPr>
              <w:rPr>
                <w:rFonts w:asciiTheme="minorHAnsi" w:hAnsiTheme="minorHAnsi" w:cstheme="minorHAnsi"/>
                <w:sz w:val="22"/>
                <w:szCs w:val="22"/>
              </w:rPr>
            </w:pPr>
          </w:p>
          <w:p w14:paraId="49071235"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Written evidence of implementation</w:t>
            </w:r>
          </w:p>
        </w:tc>
      </w:tr>
      <w:tr w:rsidR="00444B7C" w:rsidRPr="000817F4" w14:paraId="5B2F1515" w14:textId="77777777" w:rsidTr="00444B7C">
        <w:tc>
          <w:tcPr>
            <w:tcW w:w="809" w:type="dxa"/>
          </w:tcPr>
          <w:p w14:paraId="039A56C6"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52FFAE57"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Engage an external audit of the supply chain to verify implementation of actions related to human rights.</w:t>
            </w:r>
          </w:p>
          <w:p w14:paraId="35D0133A" w14:textId="77777777" w:rsidR="00444B7C" w:rsidRPr="000817F4" w:rsidRDefault="00444B7C" w:rsidP="00E82D28">
            <w:pPr>
              <w:rPr>
                <w:rFonts w:asciiTheme="minorHAnsi" w:hAnsiTheme="minorHAnsi" w:cstheme="minorHAnsi"/>
                <w:sz w:val="22"/>
                <w:szCs w:val="22"/>
              </w:rPr>
            </w:pPr>
          </w:p>
          <w:p w14:paraId="0A7E66D3" w14:textId="59F78D86"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Develop corrective action plan to address findings of audit</w:t>
            </w:r>
            <w:r w:rsidR="0046368D">
              <w:rPr>
                <w:rFonts w:asciiTheme="minorHAnsi" w:hAnsiTheme="minorHAnsi" w:cstheme="minorHAnsi"/>
                <w:sz w:val="22"/>
                <w:szCs w:val="22"/>
              </w:rPr>
              <w:t>.</w:t>
            </w:r>
          </w:p>
        </w:tc>
        <w:tc>
          <w:tcPr>
            <w:tcW w:w="5220" w:type="dxa"/>
          </w:tcPr>
          <w:p w14:paraId="2E3B5C75"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Verification methods / Request for proposal</w:t>
            </w:r>
          </w:p>
          <w:p w14:paraId="3656C9FF" w14:textId="77777777" w:rsidR="00444B7C" w:rsidRPr="000817F4" w:rsidRDefault="00444B7C" w:rsidP="00E82D28">
            <w:pPr>
              <w:rPr>
                <w:rFonts w:asciiTheme="minorHAnsi" w:hAnsiTheme="minorHAnsi" w:cstheme="minorHAnsi"/>
                <w:sz w:val="22"/>
                <w:szCs w:val="22"/>
              </w:rPr>
            </w:pPr>
          </w:p>
          <w:p w14:paraId="3A901F24"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Hiring of external consultant</w:t>
            </w:r>
          </w:p>
          <w:p w14:paraId="46078A4F" w14:textId="77777777" w:rsidR="00444B7C" w:rsidRPr="000817F4" w:rsidRDefault="00444B7C" w:rsidP="00E82D28">
            <w:pPr>
              <w:rPr>
                <w:rFonts w:asciiTheme="minorHAnsi" w:hAnsiTheme="minorHAnsi" w:cstheme="minorHAnsi"/>
                <w:sz w:val="22"/>
                <w:szCs w:val="22"/>
              </w:rPr>
            </w:pPr>
          </w:p>
          <w:p w14:paraId="2A51D78F"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External audit of supply chain</w:t>
            </w:r>
          </w:p>
          <w:p w14:paraId="20C76124" w14:textId="77777777" w:rsidR="00444B7C" w:rsidRPr="000817F4" w:rsidRDefault="00444B7C" w:rsidP="00E82D28">
            <w:pPr>
              <w:rPr>
                <w:rFonts w:asciiTheme="minorHAnsi" w:hAnsiTheme="minorHAnsi" w:cstheme="minorHAnsi"/>
                <w:sz w:val="22"/>
                <w:szCs w:val="22"/>
              </w:rPr>
            </w:pPr>
          </w:p>
          <w:p w14:paraId="1BE673E7"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Corrective action plan to address findings</w:t>
            </w:r>
          </w:p>
          <w:p w14:paraId="72F925E1" w14:textId="77777777" w:rsidR="00444B7C" w:rsidRPr="000817F4" w:rsidRDefault="00444B7C" w:rsidP="00E82D28">
            <w:pPr>
              <w:rPr>
                <w:rFonts w:asciiTheme="minorHAnsi" w:hAnsiTheme="minorHAnsi" w:cstheme="minorHAnsi"/>
                <w:sz w:val="22"/>
                <w:szCs w:val="22"/>
              </w:rPr>
            </w:pPr>
          </w:p>
        </w:tc>
      </w:tr>
      <w:tr w:rsidR="00444B7C" w:rsidRPr="000817F4" w14:paraId="5906C1D0" w14:textId="77777777" w:rsidTr="00E82D28">
        <w:tc>
          <w:tcPr>
            <w:tcW w:w="12325" w:type="dxa"/>
            <w:gridSpan w:val="3"/>
          </w:tcPr>
          <w:p w14:paraId="3848B9A5"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b/>
                <w:bCs/>
                <w:sz w:val="22"/>
                <w:szCs w:val="22"/>
              </w:rPr>
              <w:t>PS 3:  Resource Efficiency and Pollution Prevention</w:t>
            </w:r>
          </w:p>
        </w:tc>
      </w:tr>
      <w:tr w:rsidR="00444B7C" w:rsidRPr="000817F4" w14:paraId="5E3874A9" w14:textId="77777777" w:rsidTr="00444B7C">
        <w:tc>
          <w:tcPr>
            <w:tcW w:w="809" w:type="dxa"/>
          </w:tcPr>
          <w:p w14:paraId="73461E5A"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64076212"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Review environmental management and monitoring plans and procedures to incorporate relevant emission and effluent limits referenced in the applicable World Bank Group environmental, health and safety guidelines.</w:t>
            </w:r>
          </w:p>
        </w:tc>
        <w:tc>
          <w:tcPr>
            <w:tcW w:w="5220" w:type="dxa"/>
          </w:tcPr>
          <w:p w14:paraId="0A4A44A7"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Revised environmental management and monitoring plans and procedures</w:t>
            </w:r>
          </w:p>
        </w:tc>
      </w:tr>
      <w:tr w:rsidR="00444B7C" w:rsidRPr="000817F4" w14:paraId="59FD5569" w14:textId="77777777" w:rsidTr="00E82D28">
        <w:tc>
          <w:tcPr>
            <w:tcW w:w="12325" w:type="dxa"/>
            <w:gridSpan w:val="3"/>
          </w:tcPr>
          <w:p w14:paraId="36E067DD" w14:textId="77777777" w:rsidR="00444B7C" w:rsidRPr="000817F4" w:rsidRDefault="00444B7C" w:rsidP="00E82D28">
            <w:pPr>
              <w:rPr>
                <w:rFonts w:asciiTheme="minorHAnsi" w:hAnsiTheme="minorHAnsi" w:cstheme="minorHAnsi"/>
                <w:sz w:val="22"/>
                <w:szCs w:val="22"/>
              </w:rPr>
            </w:pPr>
            <w:r w:rsidRPr="00EA7604">
              <w:rPr>
                <w:rFonts w:asciiTheme="minorHAnsi" w:hAnsiTheme="minorHAnsi" w:cstheme="minorHAnsi"/>
                <w:b/>
                <w:bCs/>
                <w:sz w:val="22"/>
                <w:szCs w:val="22"/>
              </w:rPr>
              <w:t>PS 4:  Community Health, Safety and Security</w:t>
            </w:r>
          </w:p>
        </w:tc>
      </w:tr>
      <w:tr w:rsidR="00444B7C" w:rsidRPr="000817F4" w14:paraId="006265C1" w14:textId="77777777" w:rsidTr="00444B7C">
        <w:tc>
          <w:tcPr>
            <w:tcW w:w="809" w:type="dxa"/>
          </w:tcPr>
          <w:p w14:paraId="66C28BF6"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50804F02"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 xml:space="preserve">Incorporate community, as appropriate, in emergency preparedness and response plans for each company. </w:t>
            </w:r>
          </w:p>
          <w:p w14:paraId="6563D61E" w14:textId="77777777" w:rsidR="00444B7C" w:rsidRPr="000817F4" w:rsidRDefault="00444B7C" w:rsidP="00E82D28">
            <w:pPr>
              <w:rPr>
                <w:rFonts w:asciiTheme="minorHAnsi" w:hAnsiTheme="minorHAnsi" w:cstheme="minorHAnsi"/>
                <w:sz w:val="22"/>
                <w:szCs w:val="22"/>
              </w:rPr>
            </w:pPr>
          </w:p>
        </w:tc>
        <w:tc>
          <w:tcPr>
            <w:tcW w:w="5220" w:type="dxa"/>
          </w:tcPr>
          <w:p w14:paraId="421A274C"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Written evidence of community involvement in emergency response drill</w:t>
            </w:r>
          </w:p>
        </w:tc>
      </w:tr>
      <w:tr w:rsidR="00444B7C" w:rsidRPr="000817F4" w14:paraId="6FF67804" w14:textId="77777777" w:rsidTr="00444B7C">
        <w:tc>
          <w:tcPr>
            <w:tcW w:w="809" w:type="dxa"/>
          </w:tcPr>
          <w:p w14:paraId="59E65A1B" w14:textId="77777777" w:rsidR="00444B7C" w:rsidRPr="000817F4" w:rsidRDefault="00444B7C" w:rsidP="00444B7C">
            <w:pPr>
              <w:pStyle w:val="ListParagraph"/>
              <w:numPr>
                <w:ilvl w:val="0"/>
                <w:numId w:val="1"/>
              </w:numPr>
              <w:jc w:val="center"/>
              <w:rPr>
                <w:rFonts w:asciiTheme="minorHAnsi" w:hAnsiTheme="minorHAnsi" w:cstheme="minorHAnsi"/>
                <w:sz w:val="22"/>
                <w:szCs w:val="22"/>
              </w:rPr>
            </w:pPr>
          </w:p>
        </w:tc>
        <w:tc>
          <w:tcPr>
            <w:tcW w:w="6296" w:type="dxa"/>
          </w:tcPr>
          <w:p w14:paraId="751B921A"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Carry out a security risk assessment to assess security risks for the Surpapel Group (including the three companies).</w:t>
            </w:r>
          </w:p>
          <w:p w14:paraId="3DC0E4EF" w14:textId="77777777" w:rsidR="00444B7C" w:rsidRPr="000817F4" w:rsidRDefault="00444B7C" w:rsidP="00E82D28">
            <w:pPr>
              <w:rPr>
                <w:rFonts w:asciiTheme="minorHAnsi" w:hAnsiTheme="minorHAnsi" w:cstheme="minorHAnsi"/>
                <w:sz w:val="22"/>
                <w:szCs w:val="22"/>
              </w:rPr>
            </w:pPr>
          </w:p>
          <w:p w14:paraId="2C1B7779"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 xml:space="preserve">Based on the findings of the security risk assessment, develop a security management plan in line with Performance Standard 4 for the Surpapel Group (including the three companies).  </w:t>
            </w:r>
          </w:p>
        </w:tc>
        <w:tc>
          <w:tcPr>
            <w:tcW w:w="5220" w:type="dxa"/>
          </w:tcPr>
          <w:p w14:paraId="34C31DD9"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Security risk assessment</w:t>
            </w:r>
          </w:p>
          <w:p w14:paraId="3C5CCCD9" w14:textId="77777777" w:rsidR="00444B7C" w:rsidRPr="000817F4" w:rsidRDefault="00444B7C" w:rsidP="00E82D28">
            <w:pPr>
              <w:rPr>
                <w:rFonts w:asciiTheme="minorHAnsi" w:hAnsiTheme="minorHAnsi" w:cstheme="minorHAnsi"/>
                <w:sz w:val="22"/>
                <w:szCs w:val="22"/>
              </w:rPr>
            </w:pPr>
          </w:p>
          <w:p w14:paraId="4F2B7174" w14:textId="77777777" w:rsidR="00444B7C" w:rsidRPr="000817F4" w:rsidRDefault="00444B7C" w:rsidP="00E82D28">
            <w:pPr>
              <w:rPr>
                <w:rFonts w:asciiTheme="minorHAnsi" w:hAnsiTheme="minorHAnsi" w:cstheme="minorHAnsi"/>
                <w:sz w:val="22"/>
                <w:szCs w:val="22"/>
              </w:rPr>
            </w:pPr>
          </w:p>
          <w:p w14:paraId="50AC5A10" w14:textId="77777777" w:rsidR="00444B7C" w:rsidRPr="000817F4" w:rsidRDefault="00444B7C" w:rsidP="00E82D28">
            <w:pPr>
              <w:rPr>
                <w:rFonts w:asciiTheme="minorHAnsi" w:hAnsiTheme="minorHAnsi" w:cstheme="minorHAnsi"/>
                <w:sz w:val="22"/>
                <w:szCs w:val="22"/>
              </w:rPr>
            </w:pPr>
          </w:p>
          <w:p w14:paraId="7F07F95E" w14:textId="77777777" w:rsidR="00444B7C" w:rsidRPr="000817F4" w:rsidRDefault="00444B7C" w:rsidP="00E82D28">
            <w:pPr>
              <w:rPr>
                <w:rFonts w:asciiTheme="minorHAnsi" w:hAnsiTheme="minorHAnsi" w:cstheme="minorHAnsi"/>
                <w:sz w:val="22"/>
                <w:szCs w:val="22"/>
              </w:rPr>
            </w:pPr>
            <w:r w:rsidRPr="000817F4">
              <w:rPr>
                <w:rFonts w:asciiTheme="minorHAnsi" w:hAnsiTheme="minorHAnsi" w:cstheme="minorHAnsi"/>
                <w:sz w:val="22"/>
                <w:szCs w:val="22"/>
              </w:rPr>
              <w:t>Security management plan</w:t>
            </w:r>
          </w:p>
        </w:tc>
      </w:tr>
    </w:tbl>
    <w:p w14:paraId="5D672ECF" w14:textId="77777777" w:rsidR="00444B7C" w:rsidRDefault="00444B7C" w:rsidP="00444B7C">
      <w:pPr>
        <w:rPr>
          <w:sz w:val="22"/>
          <w:szCs w:val="22"/>
        </w:rPr>
      </w:pPr>
    </w:p>
    <w:p w14:paraId="5A7B90B1" w14:textId="77777777" w:rsidR="00444B7C" w:rsidRPr="00BF26AD" w:rsidRDefault="00444B7C" w:rsidP="00444B7C">
      <w:pPr>
        <w:rPr>
          <w:sz w:val="22"/>
          <w:szCs w:val="22"/>
        </w:rPr>
      </w:pPr>
    </w:p>
    <w:p w14:paraId="10C4EDED" w14:textId="77777777" w:rsidR="00DC14E6" w:rsidRDefault="00554DA9"/>
    <w:sectPr w:rsidR="00DC14E6" w:rsidSect="00D35DEC">
      <w:headerReference w:type="even" r:id="rId7"/>
      <w:headerReference w:type="default" r:id="rId8"/>
      <w:footerReference w:type="even" r:id="rId9"/>
      <w:footerReference w:type="default" r:id="rId10"/>
      <w:headerReference w:type="first" r:id="rId11"/>
      <w:footerReference w:type="first" r:id="rId12"/>
      <w:pgSz w:w="15840" w:h="12240" w:orient="landscape"/>
      <w:pgMar w:top="1800" w:right="1714"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E0093" w14:textId="77777777" w:rsidR="00444B7C" w:rsidRDefault="00444B7C" w:rsidP="00444B7C">
      <w:r>
        <w:separator/>
      </w:r>
    </w:p>
  </w:endnote>
  <w:endnote w:type="continuationSeparator" w:id="0">
    <w:p w14:paraId="76E93FC8" w14:textId="77777777" w:rsidR="00444B7C" w:rsidRDefault="00444B7C" w:rsidP="0044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E77F" w14:textId="77777777" w:rsidR="00444B7C" w:rsidRDefault="00444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19C5C" w14:textId="77777777" w:rsidR="00444B7C" w:rsidRDefault="00444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34F6" w14:textId="77777777" w:rsidR="00444B7C" w:rsidRDefault="00444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9E06" w14:textId="77777777" w:rsidR="00444B7C" w:rsidRDefault="00444B7C" w:rsidP="00444B7C">
      <w:r>
        <w:separator/>
      </w:r>
    </w:p>
  </w:footnote>
  <w:footnote w:type="continuationSeparator" w:id="0">
    <w:p w14:paraId="73C59727" w14:textId="77777777" w:rsidR="00444B7C" w:rsidRDefault="00444B7C" w:rsidP="0044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5838" w14:textId="77777777" w:rsidR="00444B7C" w:rsidRDefault="00444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AC909" w14:textId="77777777" w:rsidR="007909AF" w:rsidRDefault="00554DA9">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DC69C" w14:textId="77777777" w:rsidR="00444B7C" w:rsidRDefault="00444B7C" w:rsidP="00444B7C">
    <w:pPr>
      <w:pStyle w:val="Header"/>
    </w:pPr>
    <w:r>
      <w:rPr>
        <w:noProof/>
      </w:rPr>
      <w:drawing>
        <wp:anchor distT="0" distB="0" distL="114300" distR="114300" simplePos="0" relativeHeight="251659264" behindDoc="0" locked="0" layoutInCell="1" allowOverlap="1" wp14:anchorId="41F90465" wp14:editId="092A799A">
          <wp:simplePos x="0" y="0"/>
          <wp:positionH relativeFrom="column">
            <wp:posOffset>-538480</wp:posOffset>
          </wp:positionH>
          <wp:positionV relativeFrom="paragraph">
            <wp:posOffset>-71120</wp:posOffset>
          </wp:positionV>
          <wp:extent cx="3460115" cy="588010"/>
          <wp:effectExtent l="0" t="0" r="698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60115" cy="588010"/>
                  </a:xfrm>
                  <a:prstGeom prst="rect">
                    <a:avLst/>
                  </a:prstGeom>
                </pic:spPr>
              </pic:pic>
            </a:graphicData>
          </a:graphic>
          <wp14:sizeRelH relativeFrom="page">
            <wp14:pctWidth>0</wp14:pctWidth>
          </wp14:sizeRelH>
          <wp14:sizeRelV relativeFrom="page">
            <wp14:pctHeight>0</wp14:pctHeight>
          </wp14:sizeRelV>
        </wp:anchor>
      </w:drawing>
    </w:r>
  </w:p>
  <w:p w14:paraId="6F8B23A8" w14:textId="77777777" w:rsidR="00444B7C" w:rsidRDefault="00444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7696"/>
    <w:multiLevelType w:val="hybridMultilevel"/>
    <w:tmpl w:val="81C03148"/>
    <w:lvl w:ilvl="0" w:tplc="95FC8B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7C"/>
    <w:rsid w:val="00444B7C"/>
    <w:rsid w:val="0046368D"/>
    <w:rsid w:val="00554DA9"/>
    <w:rsid w:val="0056205E"/>
    <w:rsid w:val="00852E69"/>
    <w:rsid w:val="00CE3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4B857"/>
  <w15:chartTrackingRefBased/>
  <w15:docId w15:val="{DE523535-416A-40B3-A6A7-F38A6713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B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4B7C"/>
    <w:pPr>
      <w:tabs>
        <w:tab w:val="center" w:pos="4320"/>
        <w:tab w:val="right" w:pos="8640"/>
      </w:tabs>
    </w:pPr>
  </w:style>
  <w:style w:type="character" w:customStyle="1" w:styleId="HeaderChar">
    <w:name w:val="Header Char"/>
    <w:basedOn w:val="DefaultParagraphFont"/>
    <w:link w:val="Header"/>
    <w:uiPriority w:val="99"/>
    <w:rsid w:val="00444B7C"/>
    <w:rPr>
      <w:rFonts w:ascii="Times New Roman" w:eastAsia="Times New Roman" w:hAnsi="Times New Roman" w:cs="Times New Roman"/>
      <w:sz w:val="24"/>
      <w:szCs w:val="24"/>
    </w:rPr>
  </w:style>
  <w:style w:type="paragraph" w:styleId="ListParagraph">
    <w:name w:val="List Paragraph"/>
    <w:aliases w:val="LIST"/>
    <w:basedOn w:val="Normal"/>
    <w:link w:val="ListParagraphChar"/>
    <w:uiPriority w:val="34"/>
    <w:qFormat/>
    <w:rsid w:val="00444B7C"/>
    <w:pPr>
      <w:ind w:left="720"/>
      <w:contextualSpacing/>
    </w:pPr>
  </w:style>
  <w:style w:type="character" w:customStyle="1" w:styleId="ListParagraphChar">
    <w:name w:val="List Paragraph Char"/>
    <w:aliases w:val="LIST Char"/>
    <w:basedOn w:val="DefaultParagraphFont"/>
    <w:link w:val="ListParagraph"/>
    <w:uiPriority w:val="34"/>
    <w:locked/>
    <w:rsid w:val="00444B7C"/>
    <w:rPr>
      <w:rFonts w:ascii="Times New Roman" w:eastAsia="Times New Roman" w:hAnsi="Times New Roman" w:cs="Times New Roman"/>
      <w:sz w:val="24"/>
      <w:szCs w:val="24"/>
    </w:rPr>
  </w:style>
  <w:style w:type="paragraph" w:customStyle="1" w:styleId="Default">
    <w:name w:val="Default"/>
    <w:rsid w:val="00444B7C"/>
    <w:pPr>
      <w:autoSpaceDE w:val="0"/>
      <w:autoSpaceDN w:val="0"/>
      <w:adjustRightInd w:val="0"/>
      <w:spacing w:after="0" w:line="240" w:lineRule="auto"/>
    </w:pPr>
    <w:rPr>
      <w:rFonts w:ascii="Symbol" w:eastAsia="MS Mincho" w:hAnsi="Symbol" w:cs="Symbol"/>
      <w:color w:val="000000"/>
      <w:sz w:val="24"/>
      <w:szCs w:val="24"/>
    </w:rPr>
  </w:style>
  <w:style w:type="paragraph" w:styleId="BalloonText">
    <w:name w:val="Balloon Text"/>
    <w:basedOn w:val="Normal"/>
    <w:link w:val="BalloonTextChar"/>
    <w:uiPriority w:val="99"/>
    <w:semiHidden/>
    <w:unhideWhenUsed/>
    <w:rsid w:val="00444B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7C"/>
    <w:rPr>
      <w:rFonts w:ascii="Segoe UI" w:eastAsia="Times New Roman" w:hAnsi="Segoe UI" w:cs="Segoe UI"/>
      <w:sz w:val="18"/>
      <w:szCs w:val="18"/>
    </w:rPr>
  </w:style>
  <w:style w:type="paragraph" w:styleId="Footer">
    <w:name w:val="footer"/>
    <w:basedOn w:val="Normal"/>
    <w:link w:val="FooterChar"/>
    <w:uiPriority w:val="99"/>
    <w:unhideWhenUsed/>
    <w:rsid w:val="00444B7C"/>
    <w:pPr>
      <w:tabs>
        <w:tab w:val="center" w:pos="4680"/>
        <w:tab w:val="right" w:pos="9360"/>
      </w:tabs>
    </w:pPr>
  </w:style>
  <w:style w:type="character" w:customStyle="1" w:styleId="FooterChar">
    <w:name w:val="Footer Char"/>
    <w:basedOn w:val="DefaultParagraphFont"/>
    <w:link w:val="Footer"/>
    <w:uiPriority w:val="99"/>
    <w:rsid w:val="00444B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Zanewich</dc:creator>
  <cp:keywords/>
  <dc:description/>
  <cp:lastModifiedBy>Debra Zanewich</cp:lastModifiedBy>
  <cp:revision>3</cp:revision>
  <dcterms:created xsi:type="dcterms:W3CDTF">2020-05-22T23:11:00Z</dcterms:created>
  <dcterms:modified xsi:type="dcterms:W3CDTF">2020-05-22T23:26:00Z</dcterms:modified>
</cp:coreProperties>
</file>