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9915" w14:textId="53856516" w:rsidR="00C30C5B" w:rsidRDefault="00C30C5B" w:rsidP="00C30C5B">
      <w:pPr>
        <w:rPr>
          <w:b/>
        </w:rPr>
      </w:pPr>
    </w:p>
    <w:p w14:paraId="61B69644" w14:textId="52F370EB" w:rsidR="00C30C5B" w:rsidRDefault="00C30C5B" w:rsidP="00C30C5B">
      <w:pPr>
        <w:rPr>
          <w:b/>
        </w:rPr>
      </w:pPr>
      <w:r>
        <w:rPr>
          <w:b/>
        </w:rPr>
        <w:t xml:space="preserve">ANNEX 1: Environmental and Social Action Plan, </w:t>
      </w:r>
      <w:proofErr w:type="spellStart"/>
      <w:r>
        <w:rPr>
          <w:b/>
        </w:rPr>
        <w:t>Nagréongo</w:t>
      </w:r>
      <w:proofErr w:type="spellEnd"/>
      <w:r>
        <w:rPr>
          <w:b/>
        </w:rPr>
        <w:t xml:space="preserve"> Solar</w:t>
      </w:r>
    </w:p>
    <w:p w14:paraId="34AF8E2A" w14:textId="77777777" w:rsidR="00C30C5B" w:rsidRDefault="00C30C5B" w:rsidP="00C30C5B">
      <w:pPr>
        <w:rPr>
          <w:b/>
        </w:rPr>
      </w:pPr>
      <w:r>
        <w:rPr>
          <w:b/>
        </w:rPr>
        <w:t xml:space="preserve"> </w:t>
      </w:r>
    </w:p>
    <w:tbl>
      <w:tblPr>
        <w:tblW w:w="4103" w:type="pct"/>
        <w:tblLook w:val="04A0" w:firstRow="1" w:lastRow="0" w:firstColumn="1" w:lastColumn="0" w:noHBand="0" w:noVBand="1"/>
      </w:tblPr>
      <w:tblGrid>
        <w:gridCol w:w="511"/>
        <w:gridCol w:w="5529"/>
        <w:gridCol w:w="1633"/>
      </w:tblGrid>
      <w:tr w:rsidR="00C30C5B" w14:paraId="1391CDDB" w14:textId="77777777" w:rsidTr="00C30C5B">
        <w:trPr>
          <w:trHeight w:val="300"/>
        </w:trPr>
        <w:tc>
          <w:tcPr>
            <w:tcW w:w="273" w:type="pct"/>
            <w:tcBorders>
              <w:top w:val="single" w:sz="4" w:space="0" w:color="auto"/>
              <w:left w:val="single" w:sz="4" w:space="0" w:color="auto"/>
              <w:bottom w:val="single" w:sz="4" w:space="0" w:color="auto"/>
              <w:right w:val="single" w:sz="4" w:space="0" w:color="auto"/>
            </w:tcBorders>
            <w:shd w:val="clear" w:color="auto" w:fill="C9C9C9"/>
            <w:hideMark/>
          </w:tcPr>
          <w:p w14:paraId="4DEDA478" w14:textId="77777777" w:rsidR="00C30C5B" w:rsidRDefault="00C30C5B">
            <w:pPr>
              <w:rPr>
                <w:b/>
                <w:color w:val="000000"/>
                <w:sz w:val="20"/>
                <w:szCs w:val="20"/>
              </w:rPr>
            </w:pPr>
            <w:bookmarkStart w:id="0" w:name="_Hlk517517626"/>
            <w:r>
              <w:rPr>
                <w:b/>
                <w:color w:val="000000"/>
                <w:sz w:val="20"/>
                <w:szCs w:val="20"/>
              </w:rPr>
              <w:t>No.</w:t>
            </w:r>
          </w:p>
        </w:tc>
        <w:tc>
          <w:tcPr>
            <w:tcW w:w="3633" w:type="pct"/>
            <w:tcBorders>
              <w:top w:val="single" w:sz="4" w:space="0" w:color="auto"/>
              <w:left w:val="nil"/>
              <w:bottom w:val="single" w:sz="4" w:space="0" w:color="auto"/>
              <w:right w:val="single" w:sz="4" w:space="0" w:color="auto"/>
            </w:tcBorders>
            <w:shd w:val="clear" w:color="auto" w:fill="C9C9C9"/>
            <w:hideMark/>
          </w:tcPr>
          <w:p w14:paraId="30CB66D0" w14:textId="77777777" w:rsidR="00C30C5B" w:rsidRDefault="00C30C5B">
            <w:pPr>
              <w:rPr>
                <w:b/>
                <w:color w:val="000000"/>
                <w:sz w:val="20"/>
                <w:szCs w:val="20"/>
              </w:rPr>
            </w:pPr>
            <w:r>
              <w:rPr>
                <w:b/>
                <w:color w:val="000000"/>
                <w:sz w:val="20"/>
                <w:szCs w:val="20"/>
              </w:rPr>
              <w:t>Action</w:t>
            </w:r>
          </w:p>
        </w:tc>
        <w:tc>
          <w:tcPr>
            <w:tcW w:w="1094" w:type="pct"/>
            <w:tcBorders>
              <w:top w:val="single" w:sz="4" w:space="0" w:color="auto"/>
              <w:left w:val="nil"/>
              <w:bottom w:val="single" w:sz="4" w:space="0" w:color="auto"/>
              <w:right w:val="single" w:sz="4" w:space="0" w:color="auto"/>
            </w:tcBorders>
            <w:shd w:val="clear" w:color="auto" w:fill="C9C9C9"/>
            <w:hideMark/>
          </w:tcPr>
          <w:p w14:paraId="0633FD87" w14:textId="77777777" w:rsidR="00C30C5B" w:rsidRDefault="00C30C5B">
            <w:pPr>
              <w:rPr>
                <w:b/>
                <w:color w:val="000000"/>
                <w:sz w:val="20"/>
                <w:szCs w:val="20"/>
              </w:rPr>
            </w:pPr>
            <w:r>
              <w:rPr>
                <w:b/>
                <w:color w:val="000000"/>
                <w:sz w:val="20"/>
                <w:szCs w:val="20"/>
              </w:rPr>
              <w:t>Timeline</w:t>
            </w:r>
          </w:p>
        </w:tc>
      </w:tr>
      <w:tr w:rsidR="00C30C5B" w14:paraId="0C08BB28"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5B930BAC" w14:textId="77777777" w:rsidR="00C30C5B" w:rsidRDefault="00C30C5B">
            <w:pPr>
              <w:jc w:val="right"/>
              <w:rPr>
                <w:color w:val="000000"/>
                <w:sz w:val="20"/>
                <w:szCs w:val="20"/>
              </w:rPr>
            </w:pPr>
            <w:r>
              <w:rPr>
                <w:color w:val="000000"/>
                <w:sz w:val="20"/>
                <w:szCs w:val="20"/>
              </w:rPr>
              <w:t>1</w:t>
            </w:r>
          </w:p>
        </w:tc>
        <w:tc>
          <w:tcPr>
            <w:tcW w:w="3633" w:type="pct"/>
            <w:tcBorders>
              <w:top w:val="nil"/>
              <w:left w:val="nil"/>
              <w:bottom w:val="single" w:sz="4" w:space="0" w:color="auto"/>
              <w:right w:val="single" w:sz="4" w:space="0" w:color="auto"/>
            </w:tcBorders>
          </w:tcPr>
          <w:p w14:paraId="33339968" w14:textId="77777777" w:rsidR="00C30C5B" w:rsidRDefault="00C30C5B">
            <w:pPr>
              <w:rPr>
                <w:color w:val="000000"/>
                <w:sz w:val="20"/>
                <w:szCs w:val="20"/>
              </w:rPr>
            </w:pPr>
            <w:r>
              <w:rPr>
                <w:color w:val="000000"/>
                <w:sz w:val="20"/>
                <w:szCs w:val="20"/>
              </w:rPr>
              <w:t xml:space="preserve">Establish the Project’s Environmental and Social Management System and associated plans and procedures in line with the requirements of the MIGA PSs and the Project ESIA, for a) construction phase and b) operations phase. </w:t>
            </w:r>
          </w:p>
          <w:p w14:paraId="5D90EF0A" w14:textId="77777777" w:rsidR="00C30C5B" w:rsidRDefault="00C30C5B">
            <w:pPr>
              <w:rPr>
                <w:color w:val="000000"/>
                <w:sz w:val="20"/>
                <w:szCs w:val="20"/>
              </w:rPr>
            </w:pPr>
          </w:p>
        </w:tc>
        <w:tc>
          <w:tcPr>
            <w:tcW w:w="1094" w:type="pct"/>
            <w:tcBorders>
              <w:top w:val="nil"/>
              <w:left w:val="nil"/>
              <w:bottom w:val="single" w:sz="4" w:space="0" w:color="auto"/>
              <w:right w:val="single" w:sz="4" w:space="0" w:color="auto"/>
            </w:tcBorders>
          </w:tcPr>
          <w:p w14:paraId="1C2F3EAF" w14:textId="77777777" w:rsidR="00C30C5B" w:rsidRDefault="00C30C5B">
            <w:pPr>
              <w:rPr>
                <w:color w:val="000000"/>
                <w:sz w:val="20"/>
                <w:szCs w:val="20"/>
              </w:rPr>
            </w:pPr>
            <w:r>
              <w:rPr>
                <w:color w:val="000000"/>
                <w:sz w:val="20"/>
                <w:szCs w:val="20"/>
              </w:rPr>
              <w:t>a) Prior to start of construction;</w:t>
            </w:r>
          </w:p>
          <w:p w14:paraId="5B847034" w14:textId="77777777" w:rsidR="00C30C5B" w:rsidRDefault="00C30C5B">
            <w:pPr>
              <w:rPr>
                <w:color w:val="000000"/>
                <w:sz w:val="20"/>
                <w:szCs w:val="20"/>
              </w:rPr>
            </w:pPr>
            <w:r>
              <w:rPr>
                <w:color w:val="000000"/>
                <w:sz w:val="20"/>
                <w:szCs w:val="20"/>
              </w:rPr>
              <w:t>b) 30 days prior to commencement of operations.</w:t>
            </w:r>
          </w:p>
          <w:p w14:paraId="02D15050" w14:textId="77777777" w:rsidR="00C30C5B" w:rsidRDefault="00C30C5B">
            <w:pPr>
              <w:rPr>
                <w:color w:val="000000"/>
                <w:sz w:val="20"/>
                <w:szCs w:val="20"/>
              </w:rPr>
            </w:pPr>
          </w:p>
          <w:p w14:paraId="3302C33D" w14:textId="77777777" w:rsidR="00C30C5B" w:rsidRDefault="00C30C5B">
            <w:pPr>
              <w:rPr>
                <w:color w:val="000000"/>
                <w:sz w:val="20"/>
                <w:szCs w:val="20"/>
              </w:rPr>
            </w:pPr>
          </w:p>
        </w:tc>
      </w:tr>
      <w:tr w:rsidR="00C30C5B" w14:paraId="25074191"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4600964B" w14:textId="77777777" w:rsidR="00C30C5B" w:rsidRDefault="00C30C5B">
            <w:pPr>
              <w:jc w:val="right"/>
              <w:rPr>
                <w:color w:val="000000"/>
                <w:sz w:val="20"/>
                <w:szCs w:val="20"/>
              </w:rPr>
            </w:pPr>
            <w:r>
              <w:rPr>
                <w:color w:val="000000"/>
                <w:sz w:val="20"/>
                <w:szCs w:val="20"/>
              </w:rPr>
              <w:t>2</w:t>
            </w:r>
          </w:p>
        </w:tc>
        <w:tc>
          <w:tcPr>
            <w:tcW w:w="3633" w:type="pct"/>
            <w:tcBorders>
              <w:top w:val="nil"/>
              <w:left w:val="nil"/>
              <w:bottom w:val="single" w:sz="4" w:space="0" w:color="auto"/>
              <w:right w:val="single" w:sz="4" w:space="0" w:color="auto"/>
            </w:tcBorders>
            <w:hideMark/>
          </w:tcPr>
          <w:p w14:paraId="1F928DE5" w14:textId="77777777" w:rsidR="00C30C5B" w:rsidRDefault="00C30C5B">
            <w:pPr>
              <w:rPr>
                <w:color w:val="000000"/>
                <w:sz w:val="20"/>
                <w:szCs w:val="20"/>
              </w:rPr>
            </w:pPr>
            <w:r>
              <w:rPr>
                <w:color w:val="000000"/>
                <w:sz w:val="20"/>
                <w:szCs w:val="20"/>
              </w:rPr>
              <w:t xml:space="preserve">Ensure that the EPC Contractor appoints a qualified HSE Manager with prior experience of overseeing ESHS management in construction projects.  </w:t>
            </w:r>
          </w:p>
        </w:tc>
        <w:tc>
          <w:tcPr>
            <w:tcW w:w="1094" w:type="pct"/>
            <w:tcBorders>
              <w:top w:val="nil"/>
              <w:left w:val="nil"/>
              <w:bottom w:val="single" w:sz="4" w:space="0" w:color="auto"/>
              <w:right w:val="single" w:sz="4" w:space="0" w:color="auto"/>
            </w:tcBorders>
          </w:tcPr>
          <w:p w14:paraId="545A4B14" w14:textId="77777777" w:rsidR="00C30C5B" w:rsidRDefault="00C30C5B">
            <w:pPr>
              <w:rPr>
                <w:color w:val="000000"/>
                <w:sz w:val="20"/>
                <w:szCs w:val="20"/>
              </w:rPr>
            </w:pPr>
            <w:r>
              <w:rPr>
                <w:color w:val="000000"/>
                <w:sz w:val="20"/>
                <w:szCs w:val="20"/>
              </w:rPr>
              <w:t>Prior to start of construction.</w:t>
            </w:r>
          </w:p>
          <w:p w14:paraId="26FF23A5" w14:textId="77777777" w:rsidR="00C30C5B" w:rsidRDefault="00C30C5B">
            <w:pPr>
              <w:rPr>
                <w:color w:val="000000"/>
                <w:sz w:val="20"/>
                <w:szCs w:val="20"/>
              </w:rPr>
            </w:pPr>
          </w:p>
        </w:tc>
      </w:tr>
      <w:tr w:rsidR="00C30C5B" w14:paraId="18175999"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226B1C3D" w14:textId="77777777" w:rsidR="00C30C5B" w:rsidRDefault="00C30C5B">
            <w:pPr>
              <w:jc w:val="right"/>
              <w:rPr>
                <w:color w:val="000000"/>
                <w:sz w:val="20"/>
                <w:szCs w:val="20"/>
              </w:rPr>
            </w:pPr>
            <w:r>
              <w:rPr>
                <w:color w:val="000000"/>
                <w:sz w:val="20"/>
                <w:szCs w:val="20"/>
              </w:rPr>
              <w:t>3</w:t>
            </w:r>
          </w:p>
        </w:tc>
        <w:tc>
          <w:tcPr>
            <w:tcW w:w="3633" w:type="pct"/>
            <w:tcBorders>
              <w:top w:val="nil"/>
              <w:left w:val="nil"/>
              <w:bottom w:val="single" w:sz="4" w:space="0" w:color="auto"/>
              <w:right w:val="single" w:sz="4" w:space="0" w:color="auto"/>
            </w:tcBorders>
            <w:hideMark/>
          </w:tcPr>
          <w:p w14:paraId="02270B5C" w14:textId="77777777" w:rsidR="00C30C5B" w:rsidRDefault="00C30C5B">
            <w:pPr>
              <w:rPr>
                <w:color w:val="000000"/>
                <w:sz w:val="20"/>
                <w:szCs w:val="20"/>
              </w:rPr>
            </w:pPr>
            <w:r>
              <w:rPr>
                <w:color w:val="000000"/>
                <w:sz w:val="20"/>
                <w:szCs w:val="20"/>
              </w:rPr>
              <w:t xml:space="preserve">Develop a Stakeholder Engagement Plan for the Project, in line with the requirements of the Performance Standards. </w:t>
            </w:r>
          </w:p>
        </w:tc>
        <w:tc>
          <w:tcPr>
            <w:tcW w:w="1094" w:type="pct"/>
            <w:tcBorders>
              <w:top w:val="nil"/>
              <w:left w:val="nil"/>
              <w:bottom w:val="single" w:sz="4" w:space="0" w:color="auto"/>
              <w:right w:val="single" w:sz="4" w:space="0" w:color="auto"/>
            </w:tcBorders>
            <w:hideMark/>
          </w:tcPr>
          <w:p w14:paraId="2EEB6891" w14:textId="77777777" w:rsidR="00C30C5B" w:rsidRDefault="00C30C5B">
            <w:pPr>
              <w:rPr>
                <w:color w:val="000000"/>
                <w:sz w:val="20"/>
                <w:szCs w:val="20"/>
              </w:rPr>
            </w:pPr>
            <w:r>
              <w:rPr>
                <w:color w:val="000000"/>
                <w:sz w:val="20"/>
                <w:szCs w:val="20"/>
              </w:rPr>
              <w:t>Prior to start of construction.</w:t>
            </w:r>
          </w:p>
        </w:tc>
      </w:tr>
      <w:tr w:rsidR="00C30C5B" w14:paraId="56235152"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52D501AC" w14:textId="77777777" w:rsidR="00C30C5B" w:rsidRDefault="00C30C5B">
            <w:pPr>
              <w:jc w:val="right"/>
              <w:rPr>
                <w:color w:val="000000"/>
                <w:sz w:val="20"/>
                <w:szCs w:val="20"/>
              </w:rPr>
            </w:pPr>
            <w:r>
              <w:rPr>
                <w:color w:val="000000"/>
                <w:sz w:val="20"/>
                <w:szCs w:val="20"/>
              </w:rPr>
              <w:t>4</w:t>
            </w:r>
          </w:p>
        </w:tc>
        <w:tc>
          <w:tcPr>
            <w:tcW w:w="3633" w:type="pct"/>
            <w:tcBorders>
              <w:top w:val="nil"/>
              <w:left w:val="nil"/>
              <w:bottom w:val="single" w:sz="4" w:space="0" w:color="auto"/>
              <w:right w:val="single" w:sz="4" w:space="0" w:color="auto"/>
            </w:tcBorders>
            <w:hideMark/>
          </w:tcPr>
          <w:p w14:paraId="50ADFB13" w14:textId="77777777" w:rsidR="00C30C5B" w:rsidRDefault="00C30C5B">
            <w:pPr>
              <w:rPr>
                <w:color w:val="000000"/>
                <w:sz w:val="20"/>
                <w:szCs w:val="20"/>
              </w:rPr>
            </w:pPr>
            <w:r>
              <w:rPr>
                <w:color w:val="000000"/>
                <w:sz w:val="20"/>
                <w:szCs w:val="20"/>
              </w:rPr>
              <w:t xml:space="preserve">Ensure that any worker’s accommodation is in line with the IFC/EBRD Guidance Note on Worker’s </w:t>
            </w:r>
            <w:proofErr w:type="spellStart"/>
            <w:r>
              <w:rPr>
                <w:color w:val="000000"/>
                <w:sz w:val="20"/>
                <w:szCs w:val="20"/>
              </w:rPr>
              <w:t>Accomodation</w:t>
            </w:r>
            <w:proofErr w:type="spellEnd"/>
            <w:r>
              <w:rPr>
                <w:color w:val="000000"/>
                <w:sz w:val="20"/>
                <w:szCs w:val="20"/>
              </w:rPr>
              <w:t xml:space="preserve">. </w:t>
            </w:r>
          </w:p>
        </w:tc>
        <w:tc>
          <w:tcPr>
            <w:tcW w:w="1094" w:type="pct"/>
            <w:tcBorders>
              <w:top w:val="nil"/>
              <w:left w:val="nil"/>
              <w:bottom w:val="single" w:sz="4" w:space="0" w:color="auto"/>
              <w:right w:val="single" w:sz="4" w:space="0" w:color="auto"/>
            </w:tcBorders>
            <w:hideMark/>
          </w:tcPr>
          <w:p w14:paraId="3D85EEB4" w14:textId="77777777" w:rsidR="00C30C5B" w:rsidRDefault="00C30C5B">
            <w:pPr>
              <w:rPr>
                <w:color w:val="000000"/>
                <w:sz w:val="20"/>
                <w:szCs w:val="20"/>
              </w:rPr>
            </w:pPr>
            <w:r>
              <w:rPr>
                <w:color w:val="000000"/>
                <w:sz w:val="20"/>
                <w:szCs w:val="20"/>
              </w:rPr>
              <w:t>Prior to start of construction.</w:t>
            </w:r>
          </w:p>
        </w:tc>
      </w:tr>
      <w:tr w:rsidR="00C30C5B" w14:paraId="3E54B0B8"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23F3A024" w14:textId="77777777" w:rsidR="00C30C5B" w:rsidRDefault="00C30C5B">
            <w:pPr>
              <w:jc w:val="right"/>
              <w:rPr>
                <w:color w:val="000000"/>
                <w:sz w:val="20"/>
                <w:szCs w:val="20"/>
              </w:rPr>
            </w:pPr>
            <w:r>
              <w:rPr>
                <w:color w:val="000000"/>
                <w:sz w:val="20"/>
                <w:szCs w:val="20"/>
              </w:rPr>
              <w:t>5</w:t>
            </w:r>
          </w:p>
        </w:tc>
        <w:tc>
          <w:tcPr>
            <w:tcW w:w="3633" w:type="pct"/>
            <w:tcBorders>
              <w:top w:val="nil"/>
              <w:left w:val="nil"/>
              <w:bottom w:val="single" w:sz="4" w:space="0" w:color="auto"/>
              <w:right w:val="single" w:sz="4" w:space="0" w:color="auto"/>
            </w:tcBorders>
            <w:hideMark/>
          </w:tcPr>
          <w:p w14:paraId="54534764" w14:textId="77777777" w:rsidR="00C30C5B" w:rsidRDefault="00C30C5B">
            <w:pPr>
              <w:rPr>
                <w:color w:val="000000"/>
                <w:sz w:val="20"/>
                <w:szCs w:val="20"/>
              </w:rPr>
            </w:pPr>
            <w:r>
              <w:rPr>
                <w:color w:val="000000"/>
                <w:sz w:val="20"/>
                <w:szCs w:val="20"/>
              </w:rPr>
              <w:t>Establish a Local Recruitment Committee, including its Terms of References, to handle job applications and pre-selection of local candidates</w:t>
            </w:r>
          </w:p>
        </w:tc>
        <w:tc>
          <w:tcPr>
            <w:tcW w:w="1094" w:type="pct"/>
            <w:tcBorders>
              <w:top w:val="nil"/>
              <w:left w:val="nil"/>
              <w:bottom w:val="single" w:sz="4" w:space="0" w:color="auto"/>
              <w:right w:val="single" w:sz="4" w:space="0" w:color="auto"/>
            </w:tcBorders>
            <w:hideMark/>
          </w:tcPr>
          <w:p w14:paraId="19E697A7" w14:textId="77777777" w:rsidR="00C30C5B" w:rsidRDefault="00C30C5B">
            <w:pPr>
              <w:rPr>
                <w:color w:val="000000"/>
                <w:sz w:val="20"/>
                <w:szCs w:val="20"/>
              </w:rPr>
            </w:pPr>
            <w:r>
              <w:rPr>
                <w:color w:val="000000"/>
                <w:sz w:val="20"/>
                <w:szCs w:val="20"/>
              </w:rPr>
              <w:t>Prior to start of construction.</w:t>
            </w:r>
          </w:p>
        </w:tc>
      </w:tr>
      <w:tr w:rsidR="00C30C5B" w14:paraId="41B98CB2"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520C4E85" w14:textId="77777777" w:rsidR="00C30C5B" w:rsidRDefault="00C30C5B">
            <w:pPr>
              <w:jc w:val="right"/>
              <w:rPr>
                <w:color w:val="000000"/>
                <w:sz w:val="20"/>
                <w:szCs w:val="20"/>
              </w:rPr>
            </w:pPr>
            <w:r>
              <w:rPr>
                <w:color w:val="000000"/>
                <w:sz w:val="20"/>
                <w:szCs w:val="20"/>
              </w:rPr>
              <w:t>6</w:t>
            </w:r>
          </w:p>
        </w:tc>
        <w:tc>
          <w:tcPr>
            <w:tcW w:w="3633" w:type="pct"/>
            <w:tcBorders>
              <w:top w:val="nil"/>
              <w:left w:val="nil"/>
              <w:bottom w:val="single" w:sz="4" w:space="0" w:color="auto"/>
              <w:right w:val="single" w:sz="4" w:space="0" w:color="auto"/>
            </w:tcBorders>
            <w:hideMark/>
          </w:tcPr>
          <w:p w14:paraId="3D2D2FB0" w14:textId="77777777" w:rsidR="00C30C5B" w:rsidRDefault="00C30C5B">
            <w:pPr>
              <w:rPr>
                <w:color w:val="000000"/>
                <w:sz w:val="20"/>
                <w:szCs w:val="20"/>
              </w:rPr>
            </w:pPr>
            <w:r>
              <w:rPr>
                <w:color w:val="000000"/>
                <w:sz w:val="20"/>
                <w:szCs w:val="20"/>
              </w:rPr>
              <w:t xml:space="preserve">Establish HR procedures in line with Performance Standard 2 and local regulation, applicable to direct and contracted workers. </w:t>
            </w:r>
          </w:p>
        </w:tc>
        <w:tc>
          <w:tcPr>
            <w:tcW w:w="1094" w:type="pct"/>
            <w:tcBorders>
              <w:top w:val="nil"/>
              <w:left w:val="nil"/>
              <w:bottom w:val="single" w:sz="4" w:space="0" w:color="auto"/>
              <w:right w:val="single" w:sz="4" w:space="0" w:color="auto"/>
            </w:tcBorders>
            <w:hideMark/>
          </w:tcPr>
          <w:p w14:paraId="098B57F2" w14:textId="77777777" w:rsidR="00C30C5B" w:rsidRDefault="00C30C5B">
            <w:pPr>
              <w:rPr>
                <w:color w:val="000000"/>
                <w:sz w:val="20"/>
                <w:szCs w:val="20"/>
              </w:rPr>
            </w:pPr>
            <w:r>
              <w:rPr>
                <w:color w:val="000000"/>
                <w:sz w:val="20"/>
                <w:szCs w:val="20"/>
              </w:rPr>
              <w:t>Prior to start of construction</w:t>
            </w:r>
          </w:p>
        </w:tc>
      </w:tr>
      <w:tr w:rsidR="00C30C5B" w14:paraId="597B1E4B"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065761D5" w14:textId="77777777" w:rsidR="00C30C5B" w:rsidRDefault="00C30C5B">
            <w:pPr>
              <w:jc w:val="right"/>
              <w:rPr>
                <w:color w:val="000000"/>
                <w:sz w:val="20"/>
                <w:szCs w:val="20"/>
              </w:rPr>
            </w:pPr>
            <w:r>
              <w:rPr>
                <w:color w:val="000000"/>
                <w:sz w:val="20"/>
                <w:szCs w:val="20"/>
              </w:rPr>
              <w:t>7</w:t>
            </w:r>
          </w:p>
        </w:tc>
        <w:tc>
          <w:tcPr>
            <w:tcW w:w="3633" w:type="pct"/>
            <w:tcBorders>
              <w:top w:val="nil"/>
              <w:left w:val="nil"/>
              <w:bottom w:val="single" w:sz="4" w:space="0" w:color="auto"/>
              <w:right w:val="single" w:sz="4" w:space="0" w:color="auto"/>
            </w:tcBorders>
            <w:hideMark/>
          </w:tcPr>
          <w:p w14:paraId="6150E1B3" w14:textId="77777777" w:rsidR="00C30C5B" w:rsidRDefault="00C30C5B">
            <w:pPr>
              <w:rPr>
                <w:color w:val="000000"/>
                <w:sz w:val="20"/>
                <w:szCs w:val="20"/>
              </w:rPr>
            </w:pPr>
            <w:r>
              <w:rPr>
                <w:color w:val="000000"/>
                <w:sz w:val="20"/>
                <w:szCs w:val="20"/>
              </w:rPr>
              <w:t xml:space="preserve">Undertake a Water Resources Study evaluating whether water may be sourced from ground aquifers without affecting the communities’ access to water.  </w:t>
            </w:r>
          </w:p>
        </w:tc>
        <w:tc>
          <w:tcPr>
            <w:tcW w:w="1094" w:type="pct"/>
            <w:tcBorders>
              <w:top w:val="nil"/>
              <w:left w:val="nil"/>
              <w:bottom w:val="single" w:sz="4" w:space="0" w:color="auto"/>
              <w:right w:val="single" w:sz="4" w:space="0" w:color="auto"/>
            </w:tcBorders>
            <w:hideMark/>
          </w:tcPr>
          <w:p w14:paraId="76EF6824" w14:textId="77777777" w:rsidR="00C30C5B" w:rsidRDefault="00C30C5B">
            <w:pPr>
              <w:rPr>
                <w:color w:val="000000"/>
                <w:sz w:val="20"/>
                <w:szCs w:val="20"/>
              </w:rPr>
            </w:pPr>
            <w:r>
              <w:rPr>
                <w:color w:val="000000"/>
                <w:sz w:val="20"/>
                <w:szCs w:val="20"/>
              </w:rPr>
              <w:t>Prior to start of construction.</w:t>
            </w:r>
          </w:p>
        </w:tc>
      </w:tr>
      <w:tr w:rsidR="00C30C5B" w14:paraId="1FC04CE3"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63460EC4" w14:textId="77777777" w:rsidR="00C30C5B" w:rsidRDefault="00C30C5B">
            <w:pPr>
              <w:jc w:val="right"/>
              <w:rPr>
                <w:color w:val="000000"/>
                <w:sz w:val="20"/>
                <w:szCs w:val="20"/>
              </w:rPr>
            </w:pPr>
            <w:r>
              <w:rPr>
                <w:color w:val="000000"/>
                <w:sz w:val="20"/>
                <w:szCs w:val="20"/>
              </w:rPr>
              <w:t>8</w:t>
            </w:r>
          </w:p>
        </w:tc>
        <w:tc>
          <w:tcPr>
            <w:tcW w:w="3633" w:type="pct"/>
            <w:tcBorders>
              <w:top w:val="nil"/>
              <w:left w:val="nil"/>
              <w:bottom w:val="single" w:sz="4" w:space="0" w:color="auto"/>
              <w:right w:val="single" w:sz="4" w:space="0" w:color="auto"/>
            </w:tcBorders>
            <w:hideMark/>
          </w:tcPr>
          <w:p w14:paraId="11B16825" w14:textId="77777777" w:rsidR="00C30C5B" w:rsidRDefault="00C30C5B">
            <w:pPr>
              <w:rPr>
                <w:color w:val="000000"/>
                <w:sz w:val="20"/>
                <w:szCs w:val="20"/>
              </w:rPr>
            </w:pPr>
            <w:r>
              <w:rPr>
                <w:color w:val="000000"/>
                <w:sz w:val="20"/>
                <w:szCs w:val="20"/>
              </w:rPr>
              <w:t xml:space="preserve">Update the Project’s Security Management Plan in line with Performance Standard </w:t>
            </w:r>
            <w:proofErr w:type="gramStart"/>
            <w:r>
              <w:rPr>
                <w:color w:val="000000"/>
                <w:sz w:val="20"/>
                <w:szCs w:val="20"/>
              </w:rPr>
              <w:t>4, and</w:t>
            </w:r>
            <w:proofErr w:type="gramEnd"/>
            <w:r>
              <w:rPr>
                <w:color w:val="000000"/>
                <w:sz w:val="20"/>
                <w:szCs w:val="20"/>
              </w:rPr>
              <w:t xml:space="preserve"> including a commitment to the Voluntary Principles on Security and Human Rights, rules for use of force, and code of conduct.</w:t>
            </w:r>
          </w:p>
        </w:tc>
        <w:tc>
          <w:tcPr>
            <w:tcW w:w="1094" w:type="pct"/>
            <w:tcBorders>
              <w:top w:val="nil"/>
              <w:left w:val="nil"/>
              <w:bottom w:val="single" w:sz="4" w:space="0" w:color="auto"/>
              <w:right w:val="single" w:sz="4" w:space="0" w:color="auto"/>
            </w:tcBorders>
            <w:hideMark/>
          </w:tcPr>
          <w:p w14:paraId="5DF51F58" w14:textId="77777777" w:rsidR="00C30C5B" w:rsidRDefault="00C30C5B">
            <w:pPr>
              <w:rPr>
                <w:color w:val="000000"/>
                <w:sz w:val="20"/>
                <w:szCs w:val="20"/>
              </w:rPr>
            </w:pPr>
            <w:r>
              <w:rPr>
                <w:color w:val="000000"/>
                <w:sz w:val="20"/>
                <w:szCs w:val="20"/>
              </w:rPr>
              <w:t>Prior to start of construction.</w:t>
            </w:r>
          </w:p>
        </w:tc>
      </w:tr>
      <w:tr w:rsidR="00C30C5B" w14:paraId="5B3B2410"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2F5252BE" w14:textId="77777777" w:rsidR="00C30C5B" w:rsidRDefault="00C30C5B">
            <w:pPr>
              <w:jc w:val="right"/>
              <w:rPr>
                <w:color w:val="000000"/>
                <w:sz w:val="20"/>
                <w:szCs w:val="20"/>
              </w:rPr>
            </w:pPr>
            <w:r>
              <w:rPr>
                <w:color w:val="000000"/>
                <w:sz w:val="20"/>
                <w:szCs w:val="20"/>
              </w:rPr>
              <w:t>9</w:t>
            </w:r>
          </w:p>
        </w:tc>
        <w:tc>
          <w:tcPr>
            <w:tcW w:w="3633" w:type="pct"/>
            <w:tcBorders>
              <w:top w:val="nil"/>
              <w:left w:val="nil"/>
              <w:bottom w:val="single" w:sz="4" w:space="0" w:color="auto"/>
              <w:right w:val="single" w:sz="4" w:space="0" w:color="auto"/>
            </w:tcBorders>
            <w:hideMark/>
          </w:tcPr>
          <w:p w14:paraId="043D184C" w14:textId="77777777" w:rsidR="00C30C5B" w:rsidRDefault="00C30C5B">
            <w:pPr>
              <w:rPr>
                <w:color w:val="000000"/>
                <w:sz w:val="20"/>
                <w:szCs w:val="20"/>
              </w:rPr>
            </w:pPr>
            <w:r>
              <w:rPr>
                <w:color w:val="000000"/>
                <w:sz w:val="20"/>
                <w:szCs w:val="20"/>
              </w:rPr>
              <w:t>Ensure that shops affected by the construction of the transmission line are compensated for any loss of income caused by the construction.</w:t>
            </w:r>
          </w:p>
        </w:tc>
        <w:tc>
          <w:tcPr>
            <w:tcW w:w="1094" w:type="pct"/>
            <w:tcBorders>
              <w:top w:val="nil"/>
              <w:left w:val="nil"/>
              <w:bottom w:val="single" w:sz="4" w:space="0" w:color="auto"/>
              <w:right w:val="single" w:sz="4" w:space="0" w:color="auto"/>
            </w:tcBorders>
            <w:hideMark/>
          </w:tcPr>
          <w:p w14:paraId="36D9C3D9" w14:textId="77777777" w:rsidR="00C30C5B" w:rsidRDefault="00C30C5B">
            <w:pPr>
              <w:rPr>
                <w:color w:val="000000"/>
                <w:sz w:val="20"/>
                <w:szCs w:val="20"/>
              </w:rPr>
            </w:pPr>
            <w:r>
              <w:rPr>
                <w:color w:val="000000"/>
                <w:sz w:val="20"/>
                <w:szCs w:val="20"/>
              </w:rPr>
              <w:t>Prior to construction of the transmission line.</w:t>
            </w:r>
          </w:p>
        </w:tc>
      </w:tr>
      <w:tr w:rsidR="00C30C5B" w14:paraId="041DA069" w14:textId="77777777" w:rsidTr="00C30C5B">
        <w:trPr>
          <w:trHeight w:val="600"/>
        </w:trPr>
        <w:tc>
          <w:tcPr>
            <w:tcW w:w="273" w:type="pct"/>
            <w:tcBorders>
              <w:top w:val="nil"/>
              <w:left w:val="single" w:sz="4" w:space="0" w:color="auto"/>
              <w:bottom w:val="single" w:sz="4" w:space="0" w:color="auto"/>
              <w:right w:val="single" w:sz="4" w:space="0" w:color="auto"/>
            </w:tcBorders>
            <w:hideMark/>
          </w:tcPr>
          <w:p w14:paraId="06E3578D" w14:textId="77777777" w:rsidR="00C30C5B" w:rsidRDefault="00C30C5B">
            <w:pPr>
              <w:jc w:val="right"/>
              <w:rPr>
                <w:color w:val="000000"/>
                <w:sz w:val="20"/>
                <w:szCs w:val="20"/>
              </w:rPr>
            </w:pPr>
            <w:r>
              <w:rPr>
                <w:color w:val="000000"/>
                <w:sz w:val="20"/>
                <w:szCs w:val="20"/>
              </w:rPr>
              <w:t>5</w:t>
            </w:r>
          </w:p>
        </w:tc>
        <w:tc>
          <w:tcPr>
            <w:tcW w:w="3633" w:type="pct"/>
            <w:tcBorders>
              <w:top w:val="nil"/>
              <w:left w:val="nil"/>
              <w:bottom w:val="single" w:sz="4" w:space="0" w:color="auto"/>
              <w:right w:val="single" w:sz="4" w:space="0" w:color="auto"/>
            </w:tcBorders>
            <w:hideMark/>
          </w:tcPr>
          <w:p w14:paraId="5AA2789D" w14:textId="77777777" w:rsidR="00C30C5B" w:rsidRDefault="00C30C5B">
            <w:pPr>
              <w:rPr>
                <w:color w:val="000000"/>
                <w:sz w:val="20"/>
                <w:szCs w:val="20"/>
              </w:rPr>
            </w:pPr>
            <w:r>
              <w:rPr>
                <w:color w:val="000000"/>
                <w:sz w:val="20"/>
                <w:szCs w:val="20"/>
              </w:rPr>
              <w:t xml:space="preserve">Finalize the land acquisition process and payment for loss of trees in lines with local regulation. </w:t>
            </w:r>
          </w:p>
        </w:tc>
        <w:tc>
          <w:tcPr>
            <w:tcW w:w="1094" w:type="pct"/>
            <w:tcBorders>
              <w:top w:val="nil"/>
              <w:left w:val="nil"/>
              <w:bottom w:val="single" w:sz="4" w:space="0" w:color="auto"/>
              <w:right w:val="single" w:sz="4" w:space="0" w:color="auto"/>
            </w:tcBorders>
            <w:hideMark/>
          </w:tcPr>
          <w:p w14:paraId="25FA0850" w14:textId="77777777" w:rsidR="00C30C5B" w:rsidRDefault="00C30C5B">
            <w:pPr>
              <w:rPr>
                <w:color w:val="000000"/>
                <w:sz w:val="20"/>
                <w:szCs w:val="20"/>
              </w:rPr>
            </w:pPr>
            <w:r>
              <w:rPr>
                <w:color w:val="000000"/>
                <w:sz w:val="20"/>
                <w:szCs w:val="20"/>
              </w:rPr>
              <w:t>Prior to start of construction.</w:t>
            </w:r>
          </w:p>
        </w:tc>
        <w:bookmarkEnd w:id="0"/>
      </w:tr>
    </w:tbl>
    <w:p w14:paraId="25E367C0" w14:textId="77777777" w:rsidR="00707D09" w:rsidRDefault="002B5640"/>
    <w:sectPr w:rsidR="00707D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D927" w14:textId="77777777" w:rsidR="002B5640" w:rsidRDefault="002B5640" w:rsidP="00FD19DD">
      <w:r>
        <w:separator/>
      </w:r>
    </w:p>
  </w:endnote>
  <w:endnote w:type="continuationSeparator" w:id="0">
    <w:p w14:paraId="64B0E5FA" w14:textId="77777777" w:rsidR="002B5640" w:rsidRDefault="002B5640" w:rsidP="00FD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4D1A" w14:textId="77777777" w:rsidR="00FD19DD" w:rsidRDefault="00FD1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C5A6" w14:textId="77777777" w:rsidR="00FD19DD" w:rsidRDefault="00FD1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5C06" w14:textId="77777777" w:rsidR="00FD19DD" w:rsidRDefault="00FD1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F87F" w14:textId="77777777" w:rsidR="002B5640" w:rsidRDefault="002B5640" w:rsidP="00FD19DD">
      <w:r>
        <w:separator/>
      </w:r>
    </w:p>
  </w:footnote>
  <w:footnote w:type="continuationSeparator" w:id="0">
    <w:p w14:paraId="6E860913" w14:textId="77777777" w:rsidR="002B5640" w:rsidRDefault="002B5640" w:rsidP="00FD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CE44" w14:textId="77777777" w:rsidR="00FD19DD" w:rsidRDefault="00FD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4ED1" w14:textId="252D237B" w:rsidR="00FD19DD" w:rsidRDefault="00FD19DD">
    <w:pPr>
      <w:pStyle w:val="Header"/>
    </w:pPr>
    <w:bookmarkStart w:id="1" w:name="_GoBack"/>
    <w:r>
      <w:rPr>
        <w:noProof/>
        <w:lang w:val="fr-FR" w:eastAsia="fr-FR"/>
      </w:rPr>
      <w:drawing>
        <wp:anchor distT="0" distB="0" distL="114300" distR="114300" simplePos="0" relativeHeight="251659264" behindDoc="0" locked="0" layoutInCell="1" allowOverlap="1" wp14:anchorId="4FB6DC3B" wp14:editId="45700B3F">
          <wp:simplePos x="0" y="0"/>
          <wp:positionH relativeFrom="column">
            <wp:posOffset>-354842</wp:posOffset>
          </wp:positionH>
          <wp:positionV relativeFrom="paragraph">
            <wp:posOffset>-211796</wp:posOffset>
          </wp:positionV>
          <wp:extent cx="3460115" cy="58801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60115" cy="588010"/>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8E6" w14:textId="77777777" w:rsidR="00FD19DD" w:rsidRDefault="00FD1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5B"/>
    <w:rsid w:val="002B5640"/>
    <w:rsid w:val="00C30C5B"/>
    <w:rsid w:val="00C66D25"/>
    <w:rsid w:val="00F7483B"/>
    <w:rsid w:val="00FD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B636"/>
  <w15:chartTrackingRefBased/>
  <w15:docId w15:val="{41F43C14-94FC-4919-9C7F-74BD1343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C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9DD"/>
    <w:pPr>
      <w:tabs>
        <w:tab w:val="center" w:pos="4680"/>
        <w:tab w:val="right" w:pos="9360"/>
      </w:tabs>
    </w:pPr>
  </w:style>
  <w:style w:type="character" w:customStyle="1" w:styleId="HeaderChar">
    <w:name w:val="Header Char"/>
    <w:basedOn w:val="DefaultParagraphFont"/>
    <w:link w:val="Header"/>
    <w:uiPriority w:val="99"/>
    <w:rsid w:val="00FD19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9DD"/>
    <w:pPr>
      <w:tabs>
        <w:tab w:val="center" w:pos="4680"/>
        <w:tab w:val="right" w:pos="9360"/>
      </w:tabs>
    </w:pPr>
  </w:style>
  <w:style w:type="character" w:customStyle="1" w:styleId="FooterChar">
    <w:name w:val="Footer Char"/>
    <w:basedOn w:val="DefaultParagraphFont"/>
    <w:link w:val="Footer"/>
    <w:uiPriority w:val="99"/>
    <w:rsid w:val="00FD19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530F44CA15F64C8BBE25674DAF616E" ma:contentTypeVersion="13" ma:contentTypeDescription="Create a new document." ma:contentTypeScope="" ma:versionID="1700002205d1fc6dabf920c39e2c1444">
  <xsd:schema xmlns:xsd="http://www.w3.org/2001/XMLSchema" xmlns:xs="http://www.w3.org/2001/XMLSchema" xmlns:p="http://schemas.microsoft.com/office/2006/metadata/properties" xmlns:ns3="07830f37-cc34-4d74-af8b-5b16a2b0ce64" xmlns:ns4="25a1a2df-33bc-4d16-874b-bf46a243b1a2" targetNamespace="http://schemas.microsoft.com/office/2006/metadata/properties" ma:root="true" ma:fieldsID="68eec208f838fe5e8a45af1eb60f6584" ns3:_="" ns4:_="">
    <xsd:import namespace="07830f37-cc34-4d74-af8b-5b16a2b0ce64"/>
    <xsd:import namespace="25a1a2df-33bc-4d16-874b-bf46a243b1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0f37-cc34-4d74-af8b-5b16a2b0c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1a2df-33bc-4d16-874b-bf46a243b1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187B5-3F31-4470-9B5E-86ACCFDA3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0D729-D138-4343-8C39-971D059D7EB7}">
  <ds:schemaRefs>
    <ds:schemaRef ds:uri="http://schemas.microsoft.com/sharepoint/v3/contenttype/forms"/>
  </ds:schemaRefs>
</ds:datastoreItem>
</file>

<file path=customXml/itemProps3.xml><?xml version="1.0" encoding="utf-8"?>
<ds:datastoreItem xmlns:ds="http://schemas.openxmlformats.org/officeDocument/2006/customXml" ds:itemID="{A7071A87-6017-4B00-8340-02CA607C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0f37-cc34-4d74-af8b-5b16a2b0ce64"/>
    <ds:schemaRef ds:uri="25a1a2df-33bc-4d16-874b-bf46a243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Saxena</dc:creator>
  <cp:keywords/>
  <dc:description/>
  <cp:lastModifiedBy>Anu Saxena</cp:lastModifiedBy>
  <cp:revision>2</cp:revision>
  <dcterms:created xsi:type="dcterms:W3CDTF">2020-05-26T17:34:00Z</dcterms:created>
  <dcterms:modified xsi:type="dcterms:W3CDTF">2020-05-26T18:08:00Z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0x01010091530F44CA15F64C8BBE25674DAF616E</vt:lpwstr>
  </property>
</Properties>
</file>