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90" w:type="dxa"/>
        <w:tblInd w:w="-720" w:type="dxa"/>
        <w:tblLayout w:type="fixed"/>
        <w:tblLook w:val="04A0" w:firstRow="1" w:lastRow="0" w:firstColumn="1" w:lastColumn="0" w:noHBand="0" w:noVBand="1"/>
      </w:tblPr>
      <w:tblGrid>
        <w:gridCol w:w="6300"/>
        <w:gridCol w:w="2070"/>
        <w:gridCol w:w="2520"/>
      </w:tblGrid>
      <w:tr w:rsidR="003C6D20" w:rsidRPr="00EF64BA" w14:paraId="16B30FCA" w14:textId="77777777" w:rsidTr="007441F1">
        <w:trPr>
          <w:trHeight w:val="530"/>
        </w:trPr>
        <w:tc>
          <w:tcPr>
            <w:tcW w:w="10890" w:type="dxa"/>
            <w:gridSpan w:val="3"/>
            <w:tcBorders>
              <w:top w:val="nil"/>
              <w:left w:val="nil"/>
              <w:bottom w:val="single" w:sz="4" w:space="0" w:color="auto"/>
              <w:right w:val="nil"/>
            </w:tcBorders>
          </w:tcPr>
          <w:p w14:paraId="10292D14" w14:textId="5B12D72F" w:rsidR="003C6D20" w:rsidRPr="00EF64BA" w:rsidRDefault="003C6D20" w:rsidP="00EF64BA">
            <w:pPr>
              <w:rPr>
                <w:rFonts w:ascii="Times New Roman" w:hAnsi="Times New Roman" w:cs="Times New Roman"/>
                <w:b/>
                <w:sz w:val="28"/>
                <w:szCs w:val="28"/>
                <w:u w:val="single"/>
              </w:rPr>
            </w:pPr>
            <w:r w:rsidRPr="00EF64BA">
              <w:rPr>
                <w:rFonts w:ascii="Times New Roman" w:hAnsi="Times New Roman" w:cs="Times New Roman"/>
                <w:b/>
                <w:sz w:val="28"/>
                <w:szCs w:val="28"/>
                <w:u w:val="single"/>
              </w:rPr>
              <w:t xml:space="preserve">Environmental &amp; Social Action Plan for </w:t>
            </w:r>
            <w:r w:rsidR="00421CD6" w:rsidRPr="00421CD6">
              <w:rPr>
                <w:rFonts w:ascii="Times New Roman" w:hAnsi="Times New Roman" w:cs="Times New Roman"/>
                <w:b/>
                <w:sz w:val="28"/>
                <w:szCs w:val="28"/>
                <w:u w:val="single"/>
              </w:rPr>
              <w:t>Scatec</w:t>
            </w:r>
            <w:r w:rsidR="005655C0">
              <w:rPr>
                <w:rFonts w:ascii="Times New Roman" w:hAnsi="Times New Roman" w:cs="Times New Roman"/>
                <w:b/>
                <w:sz w:val="28"/>
                <w:szCs w:val="28"/>
                <w:u w:val="single"/>
              </w:rPr>
              <w:t xml:space="preserve"> Solar </w:t>
            </w:r>
            <w:r w:rsidR="00C67899">
              <w:rPr>
                <w:rFonts w:ascii="Times New Roman" w:hAnsi="Times New Roman" w:cs="Times New Roman"/>
                <w:b/>
                <w:sz w:val="28"/>
                <w:szCs w:val="28"/>
                <w:u w:val="single"/>
              </w:rPr>
              <w:t>2/10</w:t>
            </w:r>
            <w:r w:rsidR="008734A4">
              <w:rPr>
                <w:rFonts w:ascii="Times New Roman" w:hAnsi="Times New Roman" w:cs="Times New Roman"/>
                <w:b/>
                <w:sz w:val="28"/>
                <w:szCs w:val="28"/>
                <w:u w:val="single"/>
              </w:rPr>
              <w:t>/20</w:t>
            </w:r>
            <w:r w:rsidR="00C67899">
              <w:rPr>
                <w:rFonts w:ascii="Times New Roman" w:hAnsi="Times New Roman" w:cs="Times New Roman"/>
                <w:b/>
                <w:sz w:val="28"/>
                <w:szCs w:val="28"/>
                <w:u w:val="single"/>
              </w:rPr>
              <w:t>20</w:t>
            </w:r>
            <w:r w:rsidR="00561DAE" w:rsidRPr="00EF64BA">
              <w:rPr>
                <w:rFonts w:ascii="Times New Roman" w:hAnsi="Times New Roman" w:cs="Times New Roman"/>
                <w:b/>
                <w:sz w:val="28"/>
                <w:szCs w:val="28"/>
                <w:u w:val="single"/>
              </w:rPr>
              <w:br/>
            </w:r>
          </w:p>
        </w:tc>
      </w:tr>
      <w:tr w:rsidR="003C6D20" w:rsidRPr="003C6D20" w14:paraId="3EEAA49D" w14:textId="77777777" w:rsidTr="0002086A">
        <w:trPr>
          <w:trHeight w:val="539"/>
        </w:trPr>
        <w:tc>
          <w:tcPr>
            <w:tcW w:w="6300" w:type="dxa"/>
            <w:tcBorders>
              <w:top w:val="single" w:sz="4" w:space="0" w:color="auto"/>
            </w:tcBorders>
          </w:tcPr>
          <w:p w14:paraId="6E7182B6" w14:textId="77777777" w:rsidR="003C6D20" w:rsidRPr="003C6D20" w:rsidRDefault="003C6D20">
            <w:pPr>
              <w:rPr>
                <w:rFonts w:ascii="Times New Roman" w:hAnsi="Times New Roman" w:cs="Times New Roman"/>
                <w:b/>
              </w:rPr>
            </w:pPr>
            <w:r w:rsidRPr="003C6D20">
              <w:rPr>
                <w:rFonts w:ascii="Times New Roman" w:hAnsi="Times New Roman" w:cs="Times New Roman"/>
                <w:b/>
              </w:rPr>
              <w:t xml:space="preserve">Performance Standards </w:t>
            </w:r>
          </w:p>
        </w:tc>
        <w:tc>
          <w:tcPr>
            <w:tcW w:w="2070" w:type="dxa"/>
            <w:tcBorders>
              <w:top w:val="single" w:sz="4" w:space="0" w:color="auto"/>
            </w:tcBorders>
          </w:tcPr>
          <w:p w14:paraId="13B06127" w14:textId="77777777" w:rsidR="003C6D20" w:rsidRPr="003C6D20" w:rsidRDefault="003C6D20">
            <w:pPr>
              <w:rPr>
                <w:rFonts w:ascii="Times New Roman" w:hAnsi="Times New Roman" w:cs="Times New Roman"/>
                <w:b/>
              </w:rPr>
            </w:pPr>
            <w:r w:rsidRPr="003C6D20">
              <w:rPr>
                <w:rFonts w:ascii="Times New Roman" w:hAnsi="Times New Roman" w:cs="Times New Roman"/>
                <w:b/>
              </w:rPr>
              <w:t>Due Dates</w:t>
            </w:r>
          </w:p>
        </w:tc>
        <w:tc>
          <w:tcPr>
            <w:tcW w:w="2520" w:type="dxa"/>
            <w:tcBorders>
              <w:top w:val="single" w:sz="4" w:space="0" w:color="auto"/>
            </w:tcBorders>
          </w:tcPr>
          <w:p w14:paraId="708BD155" w14:textId="77777777" w:rsidR="003C6D20" w:rsidRPr="003C6D20" w:rsidRDefault="003C6D20">
            <w:pPr>
              <w:rPr>
                <w:rFonts w:ascii="Times New Roman" w:hAnsi="Times New Roman" w:cs="Times New Roman"/>
                <w:b/>
              </w:rPr>
            </w:pPr>
            <w:r w:rsidRPr="003C6D20">
              <w:rPr>
                <w:rFonts w:ascii="Times New Roman" w:hAnsi="Times New Roman" w:cs="Times New Roman"/>
                <w:b/>
              </w:rPr>
              <w:t>Indicators for completions</w:t>
            </w:r>
          </w:p>
        </w:tc>
      </w:tr>
      <w:tr w:rsidR="003C6D20" w:rsidRPr="003C6D20" w14:paraId="58422615" w14:textId="77777777" w:rsidTr="007441F1">
        <w:trPr>
          <w:trHeight w:val="467"/>
        </w:trPr>
        <w:tc>
          <w:tcPr>
            <w:tcW w:w="10890" w:type="dxa"/>
            <w:gridSpan w:val="3"/>
          </w:tcPr>
          <w:p w14:paraId="4AB9E2E4" w14:textId="77777777" w:rsidR="003C6D20" w:rsidRPr="00C31F73" w:rsidRDefault="003C6D20" w:rsidP="00EB1E5E">
            <w:pPr>
              <w:rPr>
                <w:rFonts w:ascii="Times New Roman" w:hAnsi="Times New Roman" w:cs="Times New Roman"/>
                <w:sz w:val="24"/>
                <w:szCs w:val="24"/>
              </w:rPr>
            </w:pPr>
            <w:r w:rsidRPr="00C31F73">
              <w:rPr>
                <w:rFonts w:ascii="Times New Roman" w:hAnsi="Times New Roman" w:cs="Times New Roman"/>
                <w:b/>
                <w:sz w:val="24"/>
                <w:szCs w:val="24"/>
              </w:rPr>
              <w:t>PS1: Assessment and Management of Social and Environmental Risks and Issues:</w:t>
            </w:r>
          </w:p>
        </w:tc>
      </w:tr>
      <w:tr w:rsidR="00F83199" w:rsidRPr="00EF64BA" w14:paraId="0BB96ED6" w14:textId="77777777" w:rsidTr="00465A66">
        <w:trPr>
          <w:trHeight w:val="3986"/>
        </w:trPr>
        <w:tc>
          <w:tcPr>
            <w:tcW w:w="6300" w:type="dxa"/>
          </w:tcPr>
          <w:p w14:paraId="7CBBEAFC" w14:textId="3B961F45" w:rsidR="00BC72DC" w:rsidRPr="00EF64BA" w:rsidRDefault="00ED31BF" w:rsidP="000C7668">
            <w:pPr>
              <w:pStyle w:val="ListParagraph"/>
              <w:numPr>
                <w:ilvl w:val="0"/>
                <w:numId w:val="1"/>
              </w:numPr>
              <w:rPr>
                <w:rFonts w:ascii="Times New Roman" w:hAnsi="Times New Roman" w:cs="Times New Roman"/>
              </w:rPr>
            </w:pPr>
            <w:r w:rsidRPr="00ED31BF">
              <w:rPr>
                <w:rFonts w:ascii="Times New Roman" w:hAnsi="Times New Roman" w:cs="Times New Roman"/>
              </w:rPr>
              <w:t xml:space="preserve">The PE will be required to update and develop a common ESHS MS for the 6 projects and ensure it is in line with </w:t>
            </w:r>
            <w:r w:rsidR="00F669D4" w:rsidRPr="00F669D4">
              <w:rPr>
                <w:rFonts w:ascii="Times New Roman" w:hAnsi="Times New Roman" w:cs="Times New Roman"/>
              </w:rPr>
              <w:t xml:space="preserve">MIGA PS1 </w:t>
            </w:r>
            <w:r w:rsidR="00B00193" w:rsidRPr="00F669D4">
              <w:rPr>
                <w:rFonts w:ascii="Times New Roman" w:hAnsi="Times New Roman" w:cs="Times New Roman"/>
              </w:rPr>
              <w:t>requirements and</w:t>
            </w:r>
            <w:r w:rsidRPr="00ED31BF">
              <w:rPr>
                <w:rFonts w:ascii="Times New Roman" w:hAnsi="Times New Roman" w:cs="Times New Roman"/>
              </w:rPr>
              <w:t xml:space="preserve"> FMC’s ESHS MS for the complex for the operation phase.</w:t>
            </w:r>
            <w:r>
              <w:rPr>
                <w:rFonts w:ascii="Times New Roman" w:hAnsi="Times New Roman" w:cs="Times New Roman"/>
              </w:rPr>
              <w:t xml:space="preserve"> </w:t>
            </w:r>
            <w:r w:rsidR="00D75CAD" w:rsidRPr="00EF64BA">
              <w:rPr>
                <w:rFonts w:ascii="Times New Roman" w:hAnsi="Times New Roman" w:cs="Times New Roman"/>
              </w:rPr>
              <w:t>The ES</w:t>
            </w:r>
            <w:r w:rsidR="00FC3C34">
              <w:rPr>
                <w:rFonts w:ascii="Times New Roman" w:hAnsi="Times New Roman" w:cs="Times New Roman"/>
              </w:rPr>
              <w:t xml:space="preserve">HS </w:t>
            </w:r>
            <w:r w:rsidR="00D75CAD" w:rsidRPr="00EF64BA">
              <w:rPr>
                <w:rFonts w:ascii="Times New Roman" w:hAnsi="Times New Roman" w:cs="Times New Roman"/>
              </w:rPr>
              <w:t xml:space="preserve">MS will include details of how the E&amp;S performance of the EPC/O&amp;M contractors will be managed. </w:t>
            </w:r>
            <w:r w:rsidR="00F83199" w:rsidRPr="00EF64BA">
              <w:rPr>
                <w:rFonts w:ascii="Times New Roman" w:hAnsi="Times New Roman" w:cs="Times New Roman"/>
              </w:rPr>
              <w:t>The ES</w:t>
            </w:r>
            <w:r w:rsidR="00FC3C34">
              <w:rPr>
                <w:rFonts w:ascii="Times New Roman" w:hAnsi="Times New Roman" w:cs="Times New Roman"/>
              </w:rPr>
              <w:t xml:space="preserve">HS </w:t>
            </w:r>
            <w:r w:rsidR="00F83199" w:rsidRPr="00EF64BA">
              <w:rPr>
                <w:rFonts w:ascii="Times New Roman" w:hAnsi="Times New Roman" w:cs="Times New Roman"/>
              </w:rPr>
              <w:t xml:space="preserve">MS shall include at least the following items: (i) </w:t>
            </w:r>
            <w:r w:rsidR="00B87D14" w:rsidRPr="00EF64BA">
              <w:rPr>
                <w:rFonts w:ascii="Times New Roman" w:hAnsi="Times New Roman" w:cs="Times New Roman"/>
              </w:rPr>
              <w:t xml:space="preserve">Environmental and Social (E&amp;S) Policy and Health and Safety (H&amp;S) Policy, </w:t>
            </w:r>
            <w:r w:rsidR="00F83199" w:rsidRPr="00EF64BA">
              <w:rPr>
                <w:rFonts w:ascii="Times New Roman" w:hAnsi="Times New Roman" w:cs="Times New Roman"/>
              </w:rPr>
              <w:t>(ii) identification of the risks and impacts, (iii) management programs</w:t>
            </w:r>
            <w:r w:rsidR="00551329" w:rsidRPr="00EF64BA">
              <w:rPr>
                <w:rFonts w:ascii="Times New Roman" w:hAnsi="Times New Roman" w:cs="Times New Roman"/>
              </w:rPr>
              <w:t xml:space="preserve"> and plans</w:t>
            </w:r>
            <w:r w:rsidR="00F83199" w:rsidRPr="00EF64BA">
              <w:rPr>
                <w:rFonts w:ascii="Times New Roman" w:hAnsi="Times New Roman" w:cs="Times New Roman"/>
              </w:rPr>
              <w:t>, (iv) organizational capacity</w:t>
            </w:r>
            <w:r w:rsidR="00BC72DC" w:rsidRPr="00EF64BA">
              <w:rPr>
                <w:rFonts w:ascii="Times New Roman" w:hAnsi="Times New Roman" w:cs="Times New Roman"/>
              </w:rPr>
              <w:t xml:space="preserve">, </w:t>
            </w:r>
            <w:r w:rsidR="00641D7F" w:rsidRPr="00EF64BA">
              <w:rPr>
                <w:rFonts w:ascii="Times New Roman" w:hAnsi="Times New Roman" w:cs="Times New Roman"/>
              </w:rPr>
              <w:t>responsibilities and</w:t>
            </w:r>
            <w:r w:rsidR="00F83199" w:rsidRPr="00EF64BA">
              <w:rPr>
                <w:rFonts w:ascii="Times New Roman" w:hAnsi="Times New Roman" w:cs="Times New Roman"/>
              </w:rPr>
              <w:t xml:space="preserve"> compet</w:t>
            </w:r>
            <w:r w:rsidR="00BC72DC" w:rsidRPr="00EF64BA">
              <w:rPr>
                <w:rFonts w:ascii="Times New Roman" w:hAnsi="Times New Roman" w:cs="Times New Roman"/>
              </w:rPr>
              <w:t>ence</w:t>
            </w:r>
            <w:r w:rsidR="00F83199" w:rsidRPr="00EF64BA">
              <w:rPr>
                <w:rFonts w:ascii="Times New Roman" w:hAnsi="Times New Roman" w:cs="Times New Roman"/>
              </w:rPr>
              <w:t xml:space="preserve">, (v) emergency preparedness and response </w:t>
            </w:r>
            <w:r w:rsidR="00641D7F" w:rsidRPr="00EF64BA">
              <w:rPr>
                <w:rFonts w:ascii="Times New Roman" w:hAnsi="Times New Roman" w:cs="Times New Roman"/>
              </w:rPr>
              <w:t>mechanisms and</w:t>
            </w:r>
            <w:r w:rsidR="000C7668" w:rsidRPr="00EF64BA">
              <w:rPr>
                <w:rFonts w:ascii="Times New Roman" w:hAnsi="Times New Roman" w:cs="Times New Roman"/>
              </w:rPr>
              <w:t xml:space="preserve"> (v</w:t>
            </w:r>
            <w:r w:rsidR="00940D5F">
              <w:rPr>
                <w:rFonts w:ascii="Times New Roman" w:hAnsi="Times New Roman" w:cs="Times New Roman"/>
              </w:rPr>
              <w:t>i</w:t>
            </w:r>
            <w:r w:rsidR="00F83199" w:rsidRPr="00EF64BA">
              <w:rPr>
                <w:rFonts w:ascii="Times New Roman" w:hAnsi="Times New Roman" w:cs="Times New Roman"/>
              </w:rPr>
              <w:t>)</w:t>
            </w:r>
            <w:r w:rsidR="008D0178" w:rsidRPr="00EF64BA">
              <w:rPr>
                <w:rFonts w:ascii="Times New Roman" w:hAnsi="Times New Roman" w:cs="Times New Roman"/>
              </w:rPr>
              <w:t xml:space="preserve"> updated Environmental</w:t>
            </w:r>
            <w:r w:rsidR="00FC3C34">
              <w:rPr>
                <w:rFonts w:ascii="Times New Roman" w:hAnsi="Times New Roman" w:cs="Times New Roman"/>
              </w:rPr>
              <w:t>,</w:t>
            </w:r>
            <w:r w:rsidR="00B87D14" w:rsidRPr="00EF64BA">
              <w:rPr>
                <w:rFonts w:ascii="Times New Roman" w:hAnsi="Times New Roman" w:cs="Times New Roman"/>
              </w:rPr>
              <w:t xml:space="preserve"> Social</w:t>
            </w:r>
            <w:r w:rsidR="00FC3C34">
              <w:rPr>
                <w:rFonts w:ascii="Times New Roman" w:hAnsi="Times New Roman" w:cs="Times New Roman"/>
              </w:rPr>
              <w:t>, Health and Safety</w:t>
            </w:r>
            <w:r w:rsidR="00B87D14" w:rsidRPr="00EF64BA">
              <w:rPr>
                <w:rFonts w:ascii="Times New Roman" w:hAnsi="Times New Roman" w:cs="Times New Roman"/>
              </w:rPr>
              <w:t xml:space="preserve"> Management Plan (ES</w:t>
            </w:r>
            <w:r w:rsidR="00FC3C34">
              <w:rPr>
                <w:rFonts w:ascii="Times New Roman" w:hAnsi="Times New Roman" w:cs="Times New Roman"/>
              </w:rPr>
              <w:t xml:space="preserve">HS </w:t>
            </w:r>
            <w:r w:rsidR="00B87D14" w:rsidRPr="00EF64BA">
              <w:rPr>
                <w:rFonts w:ascii="Times New Roman" w:hAnsi="Times New Roman" w:cs="Times New Roman"/>
              </w:rPr>
              <w:t xml:space="preserve">MP) with monitoring actions and an overarching system for reporting and tracking non-compliances. </w:t>
            </w:r>
          </w:p>
        </w:tc>
        <w:tc>
          <w:tcPr>
            <w:tcW w:w="2070" w:type="dxa"/>
          </w:tcPr>
          <w:p w14:paraId="5032D34F" w14:textId="6455D4DC" w:rsidR="00F83199" w:rsidRPr="0002086A" w:rsidRDefault="00C67899">
            <w:pPr>
              <w:rPr>
                <w:rFonts w:ascii="Times New Roman" w:hAnsi="Times New Roman" w:cs="Times New Roman"/>
                <w:b/>
                <w:color w:val="FF0000"/>
              </w:rPr>
            </w:pPr>
            <w:r w:rsidRPr="00632CFF">
              <w:rPr>
                <w:b/>
                <w:color w:val="00B050"/>
              </w:rPr>
              <w:t>Completed</w:t>
            </w:r>
          </w:p>
        </w:tc>
        <w:tc>
          <w:tcPr>
            <w:tcW w:w="2520" w:type="dxa"/>
          </w:tcPr>
          <w:p w14:paraId="48E17103" w14:textId="65459B23" w:rsidR="00F83199" w:rsidRPr="00EF64BA" w:rsidRDefault="007B0AFF" w:rsidP="002C5144">
            <w:pPr>
              <w:rPr>
                <w:rFonts w:ascii="Times New Roman" w:hAnsi="Times New Roman" w:cs="Times New Roman"/>
              </w:rPr>
            </w:pPr>
            <w:r w:rsidRPr="00EF64BA">
              <w:rPr>
                <w:rFonts w:ascii="Times New Roman" w:hAnsi="Times New Roman" w:cs="Times New Roman"/>
              </w:rPr>
              <w:t xml:space="preserve">Submit to </w:t>
            </w:r>
            <w:r w:rsidR="00B632F4">
              <w:rPr>
                <w:rFonts w:ascii="Times New Roman" w:hAnsi="Times New Roman" w:cs="Times New Roman"/>
              </w:rPr>
              <w:t>MIGA</w:t>
            </w:r>
            <w:r w:rsidRPr="00EF64BA">
              <w:rPr>
                <w:rFonts w:ascii="Times New Roman" w:hAnsi="Times New Roman" w:cs="Times New Roman"/>
              </w:rPr>
              <w:t xml:space="preserve"> the</w:t>
            </w:r>
            <w:r w:rsidR="00ED31BF">
              <w:t xml:space="preserve"> </w:t>
            </w:r>
            <w:r w:rsidR="00ED31BF" w:rsidRPr="00ED31BF">
              <w:rPr>
                <w:rFonts w:ascii="Times New Roman" w:hAnsi="Times New Roman" w:cs="Times New Roman"/>
              </w:rPr>
              <w:t>updated common</w:t>
            </w:r>
            <w:r w:rsidR="00940D5F">
              <w:rPr>
                <w:rFonts w:ascii="Times New Roman" w:hAnsi="Times New Roman" w:cs="Times New Roman"/>
              </w:rPr>
              <w:t xml:space="preserve"> </w:t>
            </w:r>
            <w:r w:rsidR="00C31F73" w:rsidRPr="00EF64BA">
              <w:rPr>
                <w:rFonts w:ascii="Times New Roman" w:hAnsi="Times New Roman" w:cs="Times New Roman"/>
              </w:rPr>
              <w:t>ES</w:t>
            </w:r>
            <w:r w:rsidR="00FC3C34">
              <w:rPr>
                <w:rFonts w:ascii="Times New Roman" w:hAnsi="Times New Roman" w:cs="Times New Roman"/>
              </w:rPr>
              <w:t xml:space="preserve">HS </w:t>
            </w:r>
            <w:r w:rsidR="00C31F73" w:rsidRPr="00EF64BA">
              <w:rPr>
                <w:rFonts w:ascii="Times New Roman" w:hAnsi="Times New Roman" w:cs="Times New Roman"/>
              </w:rPr>
              <w:t xml:space="preserve">MS </w:t>
            </w:r>
            <w:r w:rsidR="00B632F4">
              <w:rPr>
                <w:rFonts w:ascii="Times New Roman" w:hAnsi="Times New Roman" w:cs="Times New Roman"/>
              </w:rPr>
              <w:t>d</w:t>
            </w:r>
            <w:r w:rsidR="00C31F73" w:rsidRPr="00EF64BA">
              <w:rPr>
                <w:rFonts w:ascii="Times New Roman" w:hAnsi="Times New Roman" w:cs="Times New Roman"/>
              </w:rPr>
              <w:t>ocumentation</w:t>
            </w:r>
            <w:r w:rsidRPr="00EF64BA">
              <w:rPr>
                <w:rFonts w:ascii="Times New Roman" w:hAnsi="Times New Roman" w:cs="Times New Roman"/>
              </w:rPr>
              <w:t xml:space="preserve"> and evidence to </w:t>
            </w:r>
            <w:r w:rsidR="00B632F4">
              <w:rPr>
                <w:rFonts w:ascii="Times New Roman" w:hAnsi="Times New Roman" w:cs="Times New Roman"/>
              </w:rPr>
              <w:t>MIGA</w:t>
            </w:r>
            <w:r w:rsidRPr="00EF64BA">
              <w:rPr>
                <w:rFonts w:ascii="Times New Roman" w:hAnsi="Times New Roman" w:cs="Times New Roman"/>
              </w:rPr>
              <w:t xml:space="preserve"> of the existence of adequate </w:t>
            </w:r>
            <w:r w:rsidR="0086509D" w:rsidRPr="00EF64BA">
              <w:rPr>
                <w:rFonts w:ascii="Times New Roman" w:hAnsi="Times New Roman" w:cs="Times New Roman"/>
              </w:rPr>
              <w:t xml:space="preserve">policies, </w:t>
            </w:r>
            <w:r w:rsidRPr="00EF64BA">
              <w:rPr>
                <w:rFonts w:ascii="Times New Roman" w:hAnsi="Times New Roman" w:cs="Times New Roman"/>
              </w:rPr>
              <w:t>procedures, practices and management programs.</w:t>
            </w:r>
          </w:p>
        </w:tc>
      </w:tr>
      <w:tr w:rsidR="00323BDC" w:rsidRPr="00A47F19" w14:paraId="4CE5ED8B" w14:textId="77777777" w:rsidTr="0002086A">
        <w:trPr>
          <w:trHeight w:val="881"/>
        </w:trPr>
        <w:tc>
          <w:tcPr>
            <w:tcW w:w="6300" w:type="dxa"/>
          </w:tcPr>
          <w:p w14:paraId="40F1FE33" w14:textId="3D9A783A" w:rsidR="00323BDC" w:rsidRPr="00EF1A5D" w:rsidRDefault="00323BDC" w:rsidP="00323BDC">
            <w:pPr>
              <w:pStyle w:val="ListParagraph"/>
              <w:numPr>
                <w:ilvl w:val="0"/>
                <w:numId w:val="1"/>
              </w:numPr>
              <w:rPr>
                <w:rFonts w:ascii="Times New Roman" w:hAnsi="Times New Roman" w:cs="Times New Roman"/>
              </w:rPr>
            </w:pPr>
            <w:bookmarkStart w:id="0" w:name="_Hlk31453678"/>
            <w:bookmarkStart w:id="1" w:name="_Hlk31453554"/>
            <w:r>
              <w:rPr>
                <w:rFonts w:ascii="Times New Roman" w:hAnsi="Times New Roman" w:cs="Times New Roman"/>
              </w:rPr>
              <w:t>T</w:t>
            </w:r>
            <w:r w:rsidRPr="00ED31BF">
              <w:rPr>
                <w:rFonts w:ascii="Times New Roman" w:hAnsi="Times New Roman" w:cs="Times New Roman"/>
              </w:rPr>
              <w:t xml:space="preserve">he PE will be required to update and develop a common ESHS MPs for the 6 projects </w:t>
            </w:r>
            <w:bookmarkEnd w:id="0"/>
            <w:r w:rsidRPr="00ED31BF">
              <w:rPr>
                <w:rFonts w:ascii="Times New Roman" w:hAnsi="Times New Roman" w:cs="Times New Roman"/>
              </w:rPr>
              <w:t xml:space="preserve">and ensure it is in line with </w:t>
            </w:r>
            <w:r w:rsidRPr="00F669D4">
              <w:rPr>
                <w:rFonts w:ascii="Times New Roman" w:hAnsi="Times New Roman" w:cs="Times New Roman"/>
              </w:rPr>
              <w:t xml:space="preserve">MIGA PS1 requirements </w:t>
            </w:r>
            <w:r w:rsidRPr="00ED31BF">
              <w:rPr>
                <w:rFonts w:ascii="Times New Roman" w:hAnsi="Times New Roman" w:cs="Times New Roman"/>
              </w:rPr>
              <w:t xml:space="preserve">and FMC’s ESHS MPs for the complex </w:t>
            </w:r>
            <w:r w:rsidRPr="00EF1A5D">
              <w:rPr>
                <w:rFonts w:ascii="Times New Roman" w:hAnsi="Times New Roman" w:cs="Times New Roman"/>
              </w:rPr>
              <w:t>for the operation phase.</w:t>
            </w:r>
          </w:p>
        </w:tc>
        <w:tc>
          <w:tcPr>
            <w:tcW w:w="2070" w:type="dxa"/>
          </w:tcPr>
          <w:p w14:paraId="1EB1B096" w14:textId="3D312E7F" w:rsidR="00323BDC" w:rsidRPr="0002086A" w:rsidRDefault="00465A66" w:rsidP="00323BDC">
            <w:pPr>
              <w:rPr>
                <w:rFonts w:ascii="Times New Roman" w:hAnsi="Times New Roman" w:cs="Times New Roman"/>
                <w:b/>
              </w:rPr>
            </w:pPr>
            <w:r w:rsidRPr="0002086A">
              <w:rPr>
                <w:b/>
                <w:color w:val="00B050"/>
              </w:rPr>
              <w:t xml:space="preserve"> Completed</w:t>
            </w:r>
          </w:p>
        </w:tc>
        <w:tc>
          <w:tcPr>
            <w:tcW w:w="2520" w:type="dxa"/>
          </w:tcPr>
          <w:p w14:paraId="21D03DF7" w14:textId="6040002D" w:rsidR="00323BDC" w:rsidRPr="00EF1A5D" w:rsidRDefault="00323BDC" w:rsidP="00323BDC">
            <w:pPr>
              <w:rPr>
                <w:rFonts w:ascii="Times New Roman" w:hAnsi="Times New Roman" w:cs="Times New Roman"/>
              </w:rPr>
            </w:pPr>
            <w:r w:rsidRPr="00EF1A5D">
              <w:rPr>
                <w:rFonts w:ascii="Times New Roman" w:hAnsi="Times New Roman" w:cs="Times New Roman"/>
              </w:rPr>
              <w:t>Submit to MIGA the Project</w:t>
            </w:r>
            <w:r>
              <w:rPr>
                <w:rFonts w:ascii="Times New Roman" w:hAnsi="Times New Roman" w:cs="Times New Roman"/>
              </w:rPr>
              <w:t>s common</w:t>
            </w:r>
            <w:r w:rsidRPr="00EF1A5D">
              <w:rPr>
                <w:rFonts w:ascii="Times New Roman" w:hAnsi="Times New Roman" w:cs="Times New Roman"/>
              </w:rPr>
              <w:t xml:space="preserve"> ESHS MP.</w:t>
            </w:r>
          </w:p>
        </w:tc>
      </w:tr>
      <w:bookmarkEnd w:id="1"/>
      <w:tr w:rsidR="00323BDC" w:rsidRPr="00A47F19" w14:paraId="1637A380" w14:textId="77777777" w:rsidTr="0002086A">
        <w:trPr>
          <w:trHeight w:val="881"/>
        </w:trPr>
        <w:tc>
          <w:tcPr>
            <w:tcW w:w="6300" w:type="dxa"/>
          </w:tcPr>
          <w:p w14:paraId="6B320E27" w14:textId="3547168C" w:rsidR="00323BDC" w:rsidRPr="00A345A7" w:rsidRDefault="00323BDC" w:rsidP="00323BDC">
            <w:pPr>
              <w:pStyle w:val="ListParagraph"/>
              <w:numPr>
                <w:ilvl w:val="0"/>
                <w:numId w:val="1"/>
              </w:numPr>
              <w:rPr>
                <w:rFonts w:ascii="Times New Roman" w:hAnsi="Times New Roman" w:cs="Times New Roman"/>
              </w:rPr>
            </w:pPr>
            <w:r w:rsidRPr="00F47407">
              <w:rPr>
                <w:rFonts w:ascii="Times New Roman" w:hAnsi="Times New Roman" w:cs="Times New Roman"/>
              </w:rPr>
              <w:t xml:space="preserve">PE will be required to updated and develop a common EPRP for the 6 Projects and ensure it is in line with </w:t>
            </w:r>
            <w:r w:rsidRPr="00F669D4">
              <w:rPr>
                <w:rFonts w:ascii="Times New Roman" w:hAnsi="Times New Roman" w:cs="Times New Roman"/>
              </w:rPr>
              <w:t>MIGA PS1 requirements and</w:t>
            </w:r>
            <w:r w:rsidRPr="00F47407">
              <w:rPr>
                <w:rFonts w:ascii="Times New Roman" w:hAnsi="Times New Roman" w:cs="Times New Roman"/>
              </w:rPr>
              <w:t xml:space="preserve"> FMC’s EPRP for the complex </w:t>
            </w:r>
            <w:r>
              <w:rPr>
                <w:rFonts w:ascii="Times New Roman" w:hAnsi="Times New Roman" w:cs="Times New Roman"/>
              </w:rPr>
              <w:t xml:space="preserve">for the operation phase. </w:t>
            </w:r>
          </w:p>
        </w:tc>
        <w:tc>
          <w:tcPr>
            <w:tcW w:w="2070" w:type="dxa"/>
          </w:tcPr>
          <w:p w14:paraId="7A55E407" w14:textId="2F6BBD97" w:rsidR="00323BDC" w:rsidRPr="0002086A" w:rsidRDefault="00632CFF" w:rsidP="00323BDC">
            <w:pPr>
              <w:rPr>
                <w:rFonts w:ascii="Times New Roman" w:hAnsi="Times New Roman" w:cs="Times New Roman"/>
                <w:b/>
                <w:color w:val="FF0000"/>
              </w:rPr>
            </w:pPr>
            <w:r w:rsidRPr="00632CFF">
              <w:rPr>
                <w:b/>
                <w:color w:val="00B050"/>
              </w:rPr>
              <w:t>Completed</w:t>
            </w:r>
          </w:p>
        </w:tc>
        <w:tc>
          <w:tcPr>
            <w:tcW w:w="2520" w:type="dxa"/>
          </w:tcPr>
          <w:p w14:paraId="4C19D61B" w14:textId="7F481483" w:rsidR="00323BDC" w:rsidRPr="00A47F19" w:rsidRDefault="00323BDC" w:rsidP="00323BDC">
            <w:pPr>
              <w:rPr>
                <w:rFonts w:ascii="Times New Roman" w:hAnsi="Times New Roman" w:cs="Times New Roman"/>
                <w:highlight w:val="yellow"/>
              </w:rPr>
            </w:pPr>
            <w:r w:rsidRPr="00F8453A">
              <w:rPr>
                <w:rFonts w:ascii="Times New Roman" w:hAnsi="Times New Roman" w:cs="Times New Roman"/>
              </w:rPr>
              <w:t>Submit to MIGA the Emergency Preparedness and Response Plan for operation</w:t>
            </w:r>
            <w:r>
              <w:rPr>
                <w:rFonts w:ascii="Times New Roman" w:hAnsi="Times New Roman" w:cs="Times New Roman"/>
              </w:rPr>
              <w:t xml:space="preserve"> phase</w:t>
            </w:r>
            <w:r w:rsidRPr="00F8453A">
              <w:rPr>
                <w:rFonts w:ascii="Times New Roman" w:hAnsi="Times New Roman" w:cs="Times New Roman"/>
              </w:rPr>
              <w:t>.</w:t>
            </w:r>
          </w:p>
        </w:tc>
      </w:tr>
      <w:tr w:rsidR="00323BDC" w:rsidRPr="00A47F19" w14:paraId="49D7CB5C" w14:textId="77777777" w:rsidTr="0002086A">
        <w:trPr>
          <w:trHeight w:val="881"/>
        </w:trPr>
        <w:tc>
          <w:tcPr>
            <w:tcW w:w="6300" w:type="dxa"/>
          </w:tcPr>
          <w:p w14:paraId="021198A1" w14:textId="0F7A23C2" w:rsidR="00323BDC" w:rsidRPr="004F2C32" w:rsidRDefault="00323BDC" w:rsidP="00323BDC">
            <w:pPr>
              <w:pStyle w:val="ListParagraph"/>
              <w:numPr>
                <w:ilvl w:val="0"/>
                <w:numId w:val="1"/>
              </w:numPr>
              <w:rPr>
                <w:rFonts w:ascii="Times New Roman" w:hAnsi="Times New Roman" w:cs="Times New Roman"/>
              </w:rPr>
            </w:pPr>
            <w:r w:rsidRPr="002F0796">
              <w:rPr>
                <w:rFonts w:ascii="Times New Roman" w:hAnsi="Times New Roman" w:cs="Times New Roman"/>
              </w:rPr>
              <w:t>The PE will be required to develop a stakeholder</w:t>
            </w:r>
            <w:r>
              <w:rPr>
                <w:rFonts w:ascii="Times New Roman" w:hAnsi="Times New Roman" w:cs="Times New Roman"/>
              </w:rPr>
              <w:t xml:space="preserve"> engagement </w:t>
            </w:r>
            <w:r w:rsidRPr="002F0796">
              <w:rPr>
                <w:rFonts w:ascii="Times New Roman" w:hAnsi="Times New Roman" w:cs="Times New Roman"/>
              </w:rPr>
              <w:t>strategy to outline how the 6 Projects will interact and implement the FMC’s S</w:t>
            </w:r>
            <w:r>
              <w:rPr>
                <w:rFonts w:ascii="Times New Roman" w:hAnsi="Times New Roman" w:cs="Times New Roman"/>
              </w:rPr>
              <w:t>takeholder Engagement Plan (S</w:t>
            </w:r>
            <w:r w:rsidRPr="002F0796">
              <w:rPr>
                <w:rFonts w:ascii="Times New Roman" w:hAnsi="Times New Roman" w:cs="Times New Roman"/>
              </w:rPr>
              <w:t>EP</w:t>
            </w:r>
            <w:r>
              <w:rPr>
                <w:rFonts w:ascii="Times New Roman" w:hAnsi="Times New Roman" w:cs="Times New Roman"/>
              </w:rPr>
              <w:t>) for the operation phase.</w:t>
            </w:r>
          </w:p>
        </w:tc>
        <w:tc>
          <w:tcPr>
            <w:tcW w:w="2070" w:type="dxa"/>
          </w:tcPr>
          <w:p w14:paraId="78191062" w14:textId="79DB3063" w:rsidR="00323BDC" w:rsidRPr="0002086A" w:rsidRDefault="0002086A" w:rsidP="00323BDC">
            <w:pPr>
              <w:rPr>
                <w:rFonts w:ascii="Times New Roman" w:hAnsi="Times New Roman" w:cs="Times New Roman"/>
                <w:b/>
                <w:color w:val="00B050"/>
              </w:rPr>
            </w:pPr>
            <w:r w:rsidRPr="0002086A">
              <w:rPr>
                <w:b/>
                <w:color w:val="00B050"/>
              </w:rPr>
              <w:t xml:space="preserve">Completed </w:t>
            </w:r>
          </w:p>
        </w:tc>
        <w:tc>
          <w:tcPr>
            <w:tcW w:w="2520" w:type="dxa"/>
          </w:tcPr>
          <w:p w14:paraId="74966CC6" w14:textId="654D3C79" w:rsidR="00323BDC" w:rsidRPr="002F3F1C" w:rsidRDefault="00323BDC" w:rsidP="00323BDC">
            <w:pPr>
              <w:rPr>
                <w:rFonts w:ascii="Times New Roman" w:hAnsi="Times New Roman" w:cs="Times New Roman"/>
              </w:rPr>
            </w:pPr>
            <w:r>
              <w:rPr>
                <w:rFonts w:ascii="Times New Roman" w:hAnsi="Times New Roman" w:cs="Times New Roman"/>
              </w:rPr>
              <w:t xml:space="preserve">Submit to MIGA Projects stakeholder </w:t>
            </w:r>
            <w:r w:rsidRPr="002F0796">
              <w:rPr>
                <w:rFonts w:ascii="Times New Roman" w:hAnsi="Times New Roman" w:cs="Times New Roman"/>
              </w:rPr>
              <w:t>engagement strategy</w:t>
            </w:r>
            <w:r>
              <w:rPr>
                <w:rFonts w:ascii="Times New Roman" w:hAnsi="Times New Roman" w:cs="Times New Roman"/>
              </w:rPr>
              <w:t>.</w:t>
            </w:r>
          </w:p>
        </w:tc>
      </w:tr>
      <w:tr w:rsidR="00323BDC" w:rsidRPr="00A47F19" w14:paraId="3D424BD6" w14:textId="77777777" w:rsidTr="0002086A">
        <w:trPr>
          <w:trHeight w:val="881"/>
        </w:trPr>
        <w:tc>
          <w:tcPr>
            <w:tcW w:w="6300" w:type="dxa"/>
          </w:tcPr>
          <w:p w14:paraId="451762F1" w14:textId="57BC5C95" w:rsidR="00323BDC" w:rsidRPr="00A345A7" w:rsidRDefault="00323BDC" w:rsidP="00323BDC">
            <w:pPr>
              <w:pStyle w:val="ListParagraph"/>
              <w:numPr>
                <w:ilvl w:val="0"/>
                <w:numId w:val="1"/>
              </w:numPr>
              <w:rPr>
                <w:rFonts w:ascii="Times New Roman" w:hAnsi="Times New Roman" w:cs="Times New Roman"/>
              </w:rPr>
            </w:pPr>
            <w:bookmarkStart w:id="2" w:name="_Hlk34217331"/>
            <w:r w:rsidRPr="00F669D4">
              <w:rPr>
                <w:rFonts w:ascii="Times New Roman" w:hAnsi="Times New Roman" w:cs="Times New Roman"/>
              </w:rPr>
              <w:t>PE will be required to update and develop a common community</w:t>
            </w:r>
            <w:r w:rsidR="0015778D">
              <w:rPr>
                <w:rFonts w:ascii="Times New Roman" w:hAnsi="Times New Roman" w:cs="Times New Roman"/>
              </w:rPr>
              <w:t xml:space="preserve"> </w:t>
            </w:r>
            <w:r w:rsidR="0015778D" w:rsidRPr="00C91EA6">
              <w:rPr>
                <w:rFonts w:ascii="Times New Roman" w:hAnsi="Times New Roman" w:cs="Times New Roman"/>
              </w:rPr>
              <w:t xml:space="preserve">and third </w:t>
            </w:r>
            <w:proofErr w:type="gramStart"/>
            <w:r w:rsidR="0015778D" w:rsidRPr="00C91EA6">
              <w:rPr>
                <w:rFonts w:ascii="Times New Roman" w:hAnsi="Times New Roman" w:cs="Times New Roman"/>
              </w:rPr>
              <w:t>parties</w:t>
            </w:r>
            <w:proofErr w:type="gramEnd"/>
            <w:r w:rsidR="0015778D">
              <w:rPr>
                <w:rFonts w:ascii="Times New Roman" w:hAnsi="Times New Roman" w:cs="Times New Roman"/>
              </w:rPr>
              <w:t xml:space="preserve"> </w:t>
            </w:r>
            <w:r w:rsidR="0015778D" w:rsidRPr="00F669D4">
              <w:rPr>
                <w:rFonts w:ascii="Times New Roman" w:hAnsi="Times New Roman" w:cs="Times New Roman"/>
              </w:rPr>
              <w:t>grievance</w:t>
            </w:r>
            <w:r w:rsidRPr="00F669D4">
              <w:rPr>
                <w:rFonts w:ascii="Times New Roman" w:hAnsi="Times New Roman" w:cs="Times New Roman"/>
              </w:rPr>
              <w:t xml:space="preserve"> mechanism for the 6 projects and ensure it is in line with </w:t>
            </w:r>
            <w:r w:rsidRPr="004F2C32">
              <w:rPr>
                <w:rFonts w:ascii="Times New Roman" w:hAnsi="Times New Roman" w:cs="Times New Roman"/>
              </w:rPr>
              <w:t xml:space="preserve">MIGA </w:t>
            </w:r>
            <w:r>
              <w:rPr>
                <w:rFonts w:ascii="Times New Roman" w:hAnsi="Times New Roman" w:cs="Times New Roman"/>
              </w:rPr>
              <w:t xml:space="preserve">PS1 </w:t>
            </w:r>
            <w:r w:rsidRPr="004F2C32">
              <w:rPr>
                <w:rFonts w:ascii="Times New Roman" w:hAnsi="Times New Roman" w:cs="Times New Roman"/>
              </w:rPr>
              <w:t>requirements</w:t>
            </w:r>
            <w:r>
              <w:rPr>
                <w:rFonts w:ascii="Times New Roman" w:hAnsi="Times New Roman" w:cs="Times New Roman"/>
              </w:rPr>
              <w:t xml:space="preserve"> and</w:t>
            </w:r>
            <w:r w:rsidRPr="00F669D4">
              <w:rPr>
                <w:rFonts w:ascii="Times New Roman" w:hAnsi="Times New Roman" w:cs="Times New Roman"/>
              </w:rPr>
              <w:t xml:space="preserve"> FMC’s community grievance mechanism for the complex</w:t>
            </w:r>
            <w:r>
              <w:rPr>
                <w:rFonts w:ascii="Times New Roman" w:hAnsi="Times New Roman" w:cs="Times New Roman"/>
              </w:rPr>
              <w:t xml:space="preserve"> for the operation phase. </w:t>
            </w:r>
            <w:r w:rsidRPr="00F669D4">
              <w:rPr>
                <w:rFonts w:ascii="Times New Roman" w:hAnsi="Times New Roman" w:cs="Times New Roman"/>
              </w:rPr>
              <w:t xml:space="preserve"> </w:t>
            </w:r>
          </w:p>
        </w:tc>
        <w:tc>
          <w:tcPr>
            <w:tcW w:w="2070" w:type="dxa"/>
          </w:tcPr>
          <w:p w14:paraId="2D3B9F7A" w14:textId="5C21FAEF" w:rsidR="00323BDC" w:rsidRPr="0002086A" w:rsidRDefault="00523EA0" w:rsidP="00323BDC">
            <w:pPr>
              <w:rPr>
                <w:rFonts w:ascii="Times New Roman" w:hAnsi="Times New Roman" w:cs="Times New Roman"/>
                <w:b/>
                <w:color w:val="FF0000"/>
              </w:rPr>
            </w:pPr>
            <w:r>
              <w:rPr>
                <w:b/>
                <w:color w:val="00B050"/>
              </w:rPr>
              <w:t xml:space="preserve">Completed </w:t>
            </w:r>
          </w:p>
        </w:tc>
        <w:tc>
          <w:tcPr>
            <w:tcW w:w="2520" w:type="dxa"/>
          </w:tcPr>
          <w:p w14:paraId="6361E2AF" w14:textId="523A48B2" w:rsidR="00323BDC" w:rsidRPr="00F8453A" w:rsidRDefault="00323BDC" w:rsidP="00323BDC">
            <w:pPr>
              <w:rPr>
                <w:rFonts w:ascii="Times New Roman" w:hAnsi="Times New Roman" w:cs="Times New Roman"/>
              </w:rPr>
            </w:pPr>
            <w:r w:rsidRPr="002F3F1C">
              <w:rPr>
                <w:rFonts w:ascii="Times New Roman" w:hAnsi="Times New Roman" w:cs="Times New Roman"/>
              </w:rPr>
              <w:t>Submit to MIGA the community</w:t>
            </w:r>
            <w:r w:rsidR="0015778D">
              <w:rPr>
                <w:rFonts w:ascii="Times New Roman" w:hAnsi="Times New Roman" w:cs="Times New Roman"/>
              </w:rPr>
              <w:t xml:space="preserve"> and third parties </w:t>
            </w:r>
            <w:r w:rsidR="0015778D" w:rsidRPr="002F3F1C">
              <w:rPr>
                <w:rFonts w:ascii="Times New Roman" w:hAnsi="Times New Roman" w:cs="Times New Roman"/>
              </w:rPr>
              <w:t>grievance</w:t>
            </w:r>
            <w:r w:rsidRPr="002F3F1C">
              <w:rPr>
                <w:rFonts w:ascii="Times New Roman" w:hAnsi="Times New Roman" w:cs="Times New Roman"/>
              </w:rPr>
              <w:t xml:space="preserve"> mechanism for the operation</w:t>
            </w:r>
            <w:r>
              <w:rPr>
                <w:rFonts w:ascii="Times New Roman" w:hAnsi="Times New Roman" w:cs="Times New Roman"/>
              </w:rPr>
              <w:t>.</w:t>
            </w:r>
          </w:p>
        </w:tc>
      </w:tr>
      <w:tr w:rsidR="008839EE" w:rsidRPr="00A47F19" w14:paraId="4DB213BC" w14:textId="77777777" w:rsidTr="0002086A">
        <w:trPr>
          <w:trHeight w:val="881"/>
        </w:trPr>
        <w:tc>
          <w:tcPr>
            <w:tcW w:w="6300" w:type="dxa"/>
          </w:tcPr>
          <w:p w14:paraId="73B5BCC5" w14:textId="1F657AD7" w:rsidR="008839EE" w:rsidRPr="00C91EA6" w:rsidRDefault="00523EA0" w:rsidP="00323BDC">
            <w:pPr>
              <w:pStyle w:val="ListParagraph"/>
              <w:numPr>
                <w:ilvl w:val="0"/>
                <w:numId w:val="1"/>
              </w:numPr>
              <w:rPr>
                <w:rFonts w:ascii="Times New Roman" w:hAnsi="Times New Roman" w:cs="Times New Roman"/>
              </w:rPr>
            </w:pPr>
            <w:bookmarkStart w:id="3" w:name="_Hlk30089412"/>
            <w:bookmarkEnd w:id="2"/>
            <w:r w:rsidRPr="00C91EA6">
              <w:rPr>
                <w:rFonts w:ascii="Times New Roman" w:hAnsi="Times New Roman" w:cs="Times New Roman"/>
              </w:rPr>
              <w:t>The Project Enterprise will use all commercially reasonable efforts to ensure that any pending grievance between its engineering, procurement and construction subcontractor, [</w:t>
            </w:r>
            <w:proofErr w:type="spellStart"/>
            <w:r w:rsidRPr="00C91EA6">
              <w:rPr>
                <w:rFonts w:ascii="Times New Roman" w:hAnsi="Times New Roman" w:cs="Times New Roman"/>
              </w:rPr>
              <w:t>Greencells</w:t>
            </w:r>
            <w:proofErr w:type="spellEnd"/>
            <w:r w:rsidRPr="00C91EA6">
              <w:rPr>
                <w:rFonts w:ascii="Times New Roman" w:hAnsi="Times New Roman" w:cs="Times New Roman"/>
              </w:rPr>
              <w:t xml:space="preserve"> - </w:t>
            </w:r>
            <w:proofErr w:type="spellStart"/>
            <w:r w:rsidRPr="00C91EA6">
              <w:rPr>
                <w:rFonts w:ascii="Times New Roman" w:hAnsi="Times New Roman" w:cs="Times New Roman"/>
              </w:rPr>
              <w:t>SunInfinite</w:t>
            </w:r>
            <w:proofErr w:type="spellEnd"/>
            <w:r w:rsidRPr="00C91EA6">
              <w:rPr>
                <w:rFonts w:ascii="Times New Roman" w:hAnsi="Times New Roman" w:cs="Times New Roman"/>
              </w:rPr>
              <w:t xml:space="preserve"> JV S.A.E], and any of its subcontractors (together referred to as the EPC Contractor), on the one hand, and their local subcontractors, on the other hand, is resolved by the EPC Contractor.</w:t>
            </w:r>
            <w:bookmarkStart w:id="4" w:name="_GoBack"/>
            <w:bookmarkEnd w:id="4"/>
          </w:p>
        </w:tc>
        <w:tc>
          <w:tcPr>
            <w:tcW w:w="2070" w:type="dxa"/>
          </w:tcPr>
          <w:p w14:paraId="02B946E4" w14:textId="77777777" w:rsidR="00523EA0" w:rsidRPr="00C91EA6" w:rsidRDefault="00523EA0" w:rsidP="00323BDC">
            <w:pPr>
              <w:rPr>
                <w:rFonts w:ascii="Times New Roman" w:hAnsi="Times New Roman" w:cs="Times New Roman"/>
              </w:rPr>
            </w:pPr>
            <w:r w:rsidRPr="00C91EA6">
              <w:rPr>
                <w:rFonts w:ascii="Times New Roman" w:hAnsi="Times New Roman" w:cs="Times New Roman"/>
              </w:rPr>
              <w:t>9/30/2020</w:t>
            </w:r>
          </w:p>
          <w:p w14:paraId="1E17D5AB" w14:textId="5365C812" w:rsidR="008839EE" w:rsidRPr="00C91EA6" w:rsidRDefault="00523EA0" w:rsidP="00323BDC">
            <w:pPr>
              <w:rPr>
                <w:rFonts w:ascii="Times New Roman" w:hAnsi="Times New Roman" w:cs="Times New Roman"/>
              </w:rPr>
            </w:pPr>
            <w:r w:rsidRPr="00C91EA6">
              <w:rPr>
                <w:rFonts w:ascii="Times New Roman" w:hAnsi="Times New Roman" w:cs="Times New Roman"/>
              </w:rPr>
              <w:t xml:space="preserve"> and, thereafter, report annually in the Annual Monitoring Report</w:t>
            </w:r>
          </w:p>
        </w:tc>
        <w:tc>
          <w:tcPr>
            <w:tcW w:w="2520" w:type="dxa"/>
          </w:tcPr>
          <w:p w14:paraId="41A3EABA" w14:textId="77777777" w:rsidR="00523EA0" w:rsidRPr="00C91EA6" w:rsidRDefault="00523EA0" w:rsidP="00523EA0">
            <w:pPr>
              <w:rPr>
                <w:rFonts w:ascii="Times New Roman" w:hAnsi="Times New Roman" w:cs="Times New Roman"/>
              </w:rPr>
            </w:pPr>
            <w:r w:rsidRPr="00C91EA6">
              <w:rPr>
                <w:rFonts w:ascii="Times New Roman" w:hAnsi="Times New Roman" w:cs="Times New Roman"/>
              </w:rPr>
              <w:t>Submit to MIGA written confirmation that all commercially reasonable attempts have been made by the Project Enterprise to ensure the timely resolution by the EPC Contractor of the pending grievances.</w:t>
            </w:r>
          </w:p>
          <w:p w14:paraId="136CBD97" w14:textId="22841EF2" w:rsidR="008839EE" w:rsidRPr="00C91EA6" w:rsidRDefault="008839EE" w:rsidP="00323BDC">
            <w:pPr>
              <w:rPr>
                <w:rFonts w:ascii="Times New Roman" w:hAnsi="Times New Roman" w:cs="Times New Roman"/>
              </w:rPr>
            </w:pPr>
          </w:p>
        </w:tc>
      </w:tr>
      <w:bookmarkEnd w:id="3"/>
      <w:tr w:rsidR="002C063B" w:rsidRPr="00A47F19" w14:paraId="61050976" w14:textId="77777777" w:rsidTr="007441F1">
        <w:trPr>
          <w:trHeight w:val="341"/>
        </w:trPr>
        <w:tc>
          <w:tcPr>
            <w:tcW w:w="10890" w:type="dxa"/>
            <w:gridSpan w:val="3"/>
            <w:shd w:val="clear" w:color="auto" w:fill="auto"/>
          </w:tcPr>
          <w:p w14:paraId="67F5EFFF" w14:textId="7A95C31C" w:rsidR="002C063B" w:rsidRPr="00A47F19" w:rsidRDefault="002C063B" w:rsidP="002C063B">
            <w:pPr>
              <w:rPr>
                <w:rFonts w:ascii="Times New Roman" w:hAnsi="Times New Roman" w:cs="Times New Roman"/>
                <w:b/>
                <w:sz w:val="24"/>
                <w:szCs w:val="24"/>
                <w:highlight w:val="yellow"/>
              </w:rPr>
            </w:pPr>
            <w:r w:rsidRPr="00A345A7">
              <w:rPr>
                <w:rFonts w:ascii="Times New Roman" w:hAnsi="Times New Roman" w:cs="Times New Roman"/>
                <w:b/>
                <w:sz w:val="24"/>
                <w:szCs w:val="24"/>
              </w:rPr>
              <w:t xml:space="preserve">PS2: Labor and Working Conditions </w:t>
            </w:r>
          </w:p>
        </w:tc>
      </w:tr>
      <w:tr w:rsidR="00D7059D" w:rsidRPr="00A47F19" w14:paraId="5AC7DC0E" w14:textId="77777777" w:rsidTr="0002086A">
        <w:tc>
          <w:tcPr>
            <w:tcW w:w="6300" w:type="dxa"/>
          </w:tcPr>
          <w:p w14:paraId="244ABE50" w14:textId="623A919A" w:rsidR="00D7059D" w:rsidRPr="00A345A7" w:rsidRDefault="00473529" w:rsidP="00FC3C34">
            <w:pPr>
              <w:pStyle w:val="ListParagraph"/>
              <w:numPr>
                <w:ilvl w:val="0"/>
                <w:numId w:val="1"/>
              </w:numPr>
              <w:jc w:val="both"/>
              <w:rPr>
                <w:rFonts w:ascii="Times New Roman" w:hAnsi="Times New Roman" w:cs="Times New Roman"/>
                <w:color w:val="000000"/>
              </w:rPr>
            </w:pPr>
            <w:r w:rsidRPr="00A345A7">
              <w:rPr>
                <w:rFonts w:ascii="Times New Roman" w:hAnsi="Times New Roman" w:cs="Times New Roman"/>
                <w:color w:val="000000"/>
              </w:rPr>
              <w:lastRenderedPageBreak/>
              <w:t xml:space="preserve">The </w:t>
            </w:r>
            <w:r w:rsidR="00AF49C7" w:rsidRPr="00A345A7">
              <w:rPr>
                <w:rFonts w:ascii="Times New Roman" w:hAnsi="Times New Roman" w:cs="Times New Roman"/>
                <w:color w:val="000000"/>
              </w:rPr>
              <w:t xml:space="preserve">PE </w:t>
            </w:r>
            <w:r w:rsidRPr="00A345A7">
              <w:rPr>
                <w:rFonts w:ascii="Times New Roman" w:hAnsi="Times New Roman" w:cs="Times New Roman"/>
                <w:color w:val="000000"/>
              </w:rPr>
              <w:t xml:space="preserve">will ensure </w:t>
            </w:r>
            <w:r w:rsidR="00A345A7">
              <w:rPr>
                <w:rFonts w:ascii="Times New Roman" w:hAnsi="Times New Roman" w:cs="Times New Roman"/>
                <w:color w:val="000000"/>
              </w:rPr>
              <w:t xml:space="preserve">to </w:t>
            </w:r>
            <w:r w:rsidRPr="00A345A7">
              <w:rPr>
                <w:rFonts w:ascii="Times New Roman" w:hAnsi="Times New Roman" w:cs="Times New Roman"/>
                <w:color w:val="000000"/>
              </w:rPr>
              <w:t xml:space="preserve">develops and implements </w:t>
            </w:r>
            <w:r w:rsidR="00647847">
              <w:rPr>
                <w:rFonts w:ascii="Times New Roman" w:hAnsi="Times New Roman" w:cs="Times New Roman"/>
                <w:color w:val="000000"/>
              </w:rPr>
              <w:t xml:space="preserve">common </w:t>
            </w:r>
            <w:r w:rsidRPr="00A345A7">
              <w:rPr>
                <w:rFonts w:ascii="Times New Roman" w:hAnsi="Times New Roman" w:cs="Times New Roman"/>
                <w:color w:val="000000"/>
              </w:rPr>
              <w:t xml:space="preserve"> Occupational Health and Safety (OHS) procedure</w:t>
            </w:r>
            <w:r w:rsidR="00647847">
              <w:rPr>
                <w:rFonts w:ascii="Times New Roman" w:hAnsi="Times New Roman" w:cs="Times New Roman"/>
                <w:color w:val="000000"/>
              </w:rPr>
              <w:t xml:space="preserve"> for the 6 projects during </w:t>
            </w:r>
            <w:r w:rsidRPr="00A345A7">
              <w:rPr>
                <w:rFonts w:ascii="Times New Roman" w:hAnsi="Times New Roman" w:cs="Times New Roman"/>
                <w:color w:val="000000"/>
              </w:rPr>
              <w:t xml:space="preserve">the operation phase </w:t>
            </w:r>
            <w:r w:rsidR="00A03378" w:rsidRPr="00A345A7">
              <w:rPr>
                <w:rFonts w:ascii="Times New Roman" w:hAnsi="Times New Roman" w:cs="Times New Roman"/>
              </w:rPr>
              <w:t xml:space="preserve">detailing out the following issues: </w:t>
            </w:r>
            <w:r w:rsidR="00156AA2" w:rsidRPr="00A345A7">
              <w:rPr>
                <w:rFonts w:ascii="Times New Roman" w:hAnsi="Times New Roman" w:cs="Times New Roman"/>
              </w:rPr>
              <w:t>hazard identification and assessment</w:t>
            </w:r>
            <w:r w:rsidR="00A345A7">
              <w:rPr>
                <w:rFonts w:ascii="Times New Roman" w:hAnsi="Times New Roman" w:cs="Times New Roman"/>
              </w:rPr>
              <w:t xml:space="preserve"> and </w:t>
            </w:r>
            <w:r w:rsidR="00156AA2" w:rsidRPr="00A345A7">
              <w:rPr>
                <w:rFonts w:ascii="Times New Roman" w:hAnsi="Times New Roman" w:cs="Times New Roman"/>
              </w:rPr>
              <w:t xml:space="preserve"> </w:t>
            </w:r>
            <w:r w:rsidR="00A03378" w:rsidRPr="00A345A7">
              <w:rPr>
                <w:rFonts w:ascii="Times New Roman" w:hAnsi="Times New Roman" w:cs="Times New Roman"/>
              </w:rPr>
              <w:t xml:space="preserve">the </w:t>
            </w:r>
            <w:r w:rsidR="00A345A7" w:rsidRPr="00A345A7">
              <w:rPr>
                <w:rFonts w:ascii="Times New Roman" w:hAnsi="Times New Roman" w:cs="Times New Roman"/>
              </w:rPr>
              <w:t>operation</w:t>
            </w:r>
            <w:r w:rsidR="00A03378" w:rsidRPr="00A345A7">
              <w:rPr>
                <w:rFonts w:ascii="Times New Roman" w:hAnsi="Times New Roman" w:cs="Times New Roman"/>
              </w:rPr>
              <w:t xml:space="preserve"> site safety (control of the access, </w:t>
            </w:r>
            <w:bookmarkStart w:id="5" w:name="_Hlk22793835"/>
            <w:r w:rsidR="00A03378" w:rsidRPr="00A345A7">
              <w:rPr>
                <w:rFonts w:ascii="Times New Roman" w:hAnsi="Times New Roman" w:cs="Times New Roman"/>
              </w:rPr>
              <w:t>clear demarcation of areas</w:t>
            </w:r>
            <w:bookmarkEnd w:id="5"/>
            <w:r w:rsidR="00A03378" w:rsidRPr="00A345A7">
              <w:rPr>
                <w:rFonts w:ascii="Times New Roman" w:hAnsi="Times New Roman" w:cs="Times New Roman"/>
              </w:rPr>
              <w:t xml:space="preserve"> and provision of safety information to visitors, etc.); </w:t>
            </w:r>
            <w:r w:rsidR="00156AA2" w:rsidRPr="00A345A7">
              <w:rPr>
                <w:rFonts w:ascii="Times New Roman" w:hAnsi="Times New Roman" w:cs="Times New Roman"/>
              </w:rPr>
              <w:t xml:space="preserve">specific procedures for hazardous works; </w:t>
            </w:r>
            <w:r w:rsidR="00A03378" w:rsidRPr="00A345A7">
              <w:rPr>
                <w:rFonts w:ascii="Times New Roman" w:hAnsi="Times New Roman" w:cs="Times New Roman"/>
              </w:rPr>
              <w:t xml:space="preserve">worker’s safety and training plan; personnel qualification, limitations and equipment needs (e.g. personal protective equipment); site supervision and audit procedures; incident reporting system and intervention measures (first aid etc.). </w:t>
            </w:r>
          </w:p>
          <w:p w14:paraId="630043DA" w14:textId="570CE219" w:rsidR="00A345A7" w:rsidRPr="00A345A7" w:rsidRDefault="00A345A7" w:rsidP="00A345A7">
            <w:pPr>
              <w:pStyle w:val="ListParagraph"/>
              <w:jc w:val="both"/>
              <w:rPr>
                <w:rFonts w:ascii="Times New Roman" w:hAnsi="Times New Roman" w:cs="Times New Roman"/>
                <w:color w:val="000000"/>
              </w:rPr>
            </w:pPr>
          </w:p>
        </w:tc>
        <w:tc>
          <w:tcPr>
            <w:tcW w:w="2070" w:type="dxa"/>
          </w:tcPr>
          <w:p w14:paraId="1C37FFC7" w14:textId="3271B9AD" w:rsidR="00D7059D" w:rsidRPr="00632CFF" w:rsidRDefault="00632CFF" w:rsidP="002C063B">
            <w:pPr>
              <w:rPr>
                <w:rFonts w:ascii="Times New Roman" w:hAnsi="Times New Roman" w:cs="Times New Roman"/>
                <w:b/>
                <w:color w:val="00B050"/>
              </w:rPr>
            </w:pPr>
            <w:r w:rsidRPr="00632CFF">
              <w:rPr>
                <w:rFonts w:ascii="Times New Roman" w:hAnsi="Times New Roman" w:cs="Times New Roman"/>
                <w:b/>
                <w:color w:val="00B050"/>
              </w:rPr>
              <w:t xml:space="preserve">Completed </w:t>
            </w:r>
          </w:p>
        </w:tc>
        <w:tc>
          <w:tcPr>
            <w:tcW w:w="2520" w:type="dxa"/>
          </w:tcPr>
          <w:p w14:paraId="2B5C3941" w14:textId="2A9D631D" w:rsidR="00D7059D" w:rsidRPr="00A345A7" w:rsidRDefault="00815629" w:rsidP="00D7059D">
            <w:pPr>
              <w:rPr>
                <w:rFonts w:ascii="Times New Roman" w:hAnsi="Times New Roman" w:cs="Times New Roman"/>
              </w:rPr>
            </w:pPr>
            <w:r>
              <w:rPr>
                <w:rFonts w:ascii="Times New Roman" w:hAnsi="Times New Roman" w:cs="Times New Roman"/>
              </w:rPr>
              <w:t>Submit to MIGA</w:t>
            </w:r>
            <w:r w:rsidR="00A03378" w:rsidRPr="00A345A7">
              <w:rPr>
                <w:rFonts w:ascii="Times New Roman" w:hAnsi="Times New Roman" w:cs="Times New Roman"/>
              </w:rPr>
              <w:t xml:space="preserve"> the </w:t>
            </w:r>
            <w:r w:rsidR="000E2ED8">
              <w:rPr>
                <w:rFonts w:ascii="Times New Roman" w:hAnsi="Times New Roman" w:cs="Times New Roman"/>
              </w:rPr>
              <w:t xml:space="preserve">common </w:t>
            </w:r>
            <w:r w:rsidR="00A03378" w:rsidRPr="00A345A7">
              <w:rPr>
                <w:rFonts w:ascii="Times New Roman" w:hAnsi="Times New Roman" w:cs="Times New Roman"/>
              </w:rPr>
              <w:t>OHS procedure</w:t>
            </w:r>
            <w:r w:rsidR="00BF772B" w:rsidRPr="00A345A7">
              <w:rPr>
                <w:rFonts w:ascii="Times New Roman" w:hAnsi="Times New Roman" w:cs="Times New Roman"/>
              </w:rPr>
              <w:t>s</w:t>
            </w:r>
            <w:r w:rsidR="00A03378" w:rsidRPr="00A345A7">
              <w:rPr>
                <w:rFonts w:ascii="Times New Roman" w:hAnsi="Times New Roman" w:cs="Times New Roman"/>
              </w:rPr>
              <w:t xml:space="preserve"> and plan</w:t>
            </w:r>
            <w:r w:rsidR="000E2ED8">
              <w:rPr>
                <w:rFonts w:ascii="Times New Roman" w:hAnsi="Times New Roman" w:cs="Times New Roman"/>
              </w:rPr>
              <w:t xml:space="preserve">. </w:t>
            </w:r>
          </w:p>
          <w:p w14:paraId="0C0D42CA" w14:textId="77777777" w:rsidR="00A03378" w:rsidRPr="00A345A7" w:rsidRDefault="00A03378" w:rsidP="00D7059D">
            <w:pPr>
              <w:rPr>
                <w:rFonts w:ascii="Times New Roman" w:hAnsi="Times New Roman" w:cs="Times New Roman"/>
              </w:rPr>
            </w:pPr>
          </w:p>
          <w:p w14:paraId="73C8007E" w14:textId="47E287F0" w:rsidR="00A03378" w:rsidRPr="00A345A7" w:rsidRDefault="00A03378" w:rsidP="00D7059D">
            <w:pPr>
              <w:rPr>
                <w:rFonts w:ascii="Times New Roman" w:hAnsi="Times New Roman" w:cs="Times New Roman"/>
              </w:rPr>
            </w:pPr>
          </w:p>
        </w:tc>
      </w:tr>
      <w:tr w:rsidR="002C063B" w:rsidRPr="00A47F19" w14:paraId="146DED76" w14:textId="77777777" w:rsidTr="00C31F73">
        <w:trPr>
          <w:trHeight w:val="368"/>
        </w:trPr>
        <w:tc>
          <w:tcPr>
            <w:tcW w:w="10890" w:type="dxa"/>
            <w:gridSpan w:val="3"/>
          </w:tcPr>
          <w:p w14:paraId="6CB91BD7" w14:textId="77777777" w:rsidR="002C063B" w:rsidRPr="00A47F19" w:rsidRDefault="002C063B" w:rsidP="002C063B">
            <w:pPr>
              <w:rPr>
                <w:rFonts w:ascii="Times New Roman" w:hAnsi="Times New Roman" w:cs="Times New Roman"/>
                <w:b/>
                <w:sz w:val="24"/>
                <w:szCs w:val="24"/>
                <w:highlight w:val="yellow"/>
              </w:rPr>
            </w:pPr>
            <w:r w:rsidRPr="00A345A7">
              <w:rPr>
                <w:rFonts w:ascii="Times New Roman" w:hAnsi="Times New Roman" w:cs="Times New Roman"/>
                <w:b/>
                <w:sz w:val="24"/>
                <w:szCs w:val="24"/>
              </w:rPr>
              <w:t>PS3: Resource Efficiency and Pollution Prevention</w:t>
            </w:r>
          </w:p>
        </w:tc>
      </w:tr>
      <w:tr w:rsidR="00225B14" w:rsidRPr="00A47F19" w14:paraId="49C28102" w14:textId="77777777" w:rsidTr="0002086A">
        <w:tc>
          <w:tcPr>
            <w:tcW w:w="6300" w:type="dxa"/>
          </w:tcPr>
          <w:p w14:paraId="583B8023" w14:textId="6A03253B" w:rsidR="00225B14" w:rsidRPr="00A345A7" w:rsidRDefault="00A345A7" w:rsidP="00FC3C34">
            <w:pPr>
              <w:pStyle w:val="ListParagraph"/>
              <w:numPr>
                <w:ilvl w:val="0"/>
                <w:numId w:val="1"/>
              </w:numPr>
              <w:rPr>
                <w:rFonts w:ascii="Times New Roman" w:hAnsi="Times New Roman" w:cs="Times New Roman"/>
              </w:rPr>
            </w:pPr>
            <w:r w:rsidRPr="00A345A7">
              <w:rPr>
                <w:rFonts w:ascii="Times New Roman" w:hAnsi="Times New Roman" w:cs="Times New Roman"/>
              </w:rPr>
              <w:t>PE</w:t>
            </w:r>
            <w:r w:rsidR="00225B14" w:rsidRPr="00A345A7">
              <w:rPr>
                <w:rFonts w:ascii="Times New Roman" w:hAnsi="Times New Roman" w:cs="Times New Roman"/>
              </w:rPr>
              <w:t xml:space="preserve"> will develop a</w:t>
            </w:r>
            <w:r w:rsidR="00EA758B">
              <w:rPr>
                <w:rFonts w:ascii="Times New Roman" w:hAnsi="Times New Roman" w:cs="Times New Roman"/>
              </w:rPr>
              <w:t xml:space="preserve"> common</w:t>
            </w:r>
            <w:r w:rsidR="00225B14" w:rsidRPr="00A345A7">
              <w:rPr>
                <w:rFonts w:ascii="Times New Roman" w:hAnsi="Times New Roman" w:cs="Times New Roman"/>
              </w:rPr>
              <w:t xml:space="preserve"> water management plan </w:t>
            </w:r>
            <w:r w:rsidRPr="00A345A7">
              <w:rPr>
                <w:rFonts w:ascii="Times New Roman" w:hAnsi="Times New Roman" w:cs="Times New Roman"/>
              </w:rPr>
              <w:t>for the</w:t>
            </w:r>
            <w:r w:rsidR="00EA758B">
              <w:rPr>
                <w:rFonts w:ascii="Times New Roman" w:hAnsi="Times New Roman" w:cs="Times New Roman"/>
              </w:rPr>
              <w:t xml:space="preserve"> 6 projects during </w:t>
            </w:r>
            <w:r w:rsidR="00865443">
              <w:rPr>
                <w:rFonts w:ascii="Times New Roman" w:hAnsi="Times New Roman" w:cs="Times New Roman"/>
              </w:rPr>
              <w:t xml:space="preserve">the </w:t>
            </w:r>
            <w:r w:rsidR="00865443" w:rsidRPr="00A345A7">
              <w:rPr>
                <w:rFonts w:ascii="Times New Roman" w:hAnsi="Times New Roman" w:cs="Times New Roman"/>
              </w:rPr>
              <w:t>operation</w:t>
            </w:r>
            <w:r w:rsidRPr="00A345A7">
              <w:rPr>
                <w:rFonts w:ascii="Times New Roman" w:hAnsi="Times New Roman" w:cs="Times New Roman"/>
              </w:rPr>
              <w:t xml:space="preserve"> phase</w:t>
            </w:r>
            <w:r w:rsidR="00EA758B">
              <w:rPr>
                <w:rFonts w:ascii="Times New Roman" w:hAnsi="Times New Roman" w:cs="Times New Roman"/>
              </w:rPr>
              <w:t xml:space="preserve">. The water management plan will </w:t>
            </w:r>
            <w:r w:rsidR="00225B14" w:rsidRPr="00A345A7">
              <w:rPr>
                <w:rFonts w:ascii="Times New Roman" w:hAnsi="Times New Roman" w:cs="Times New Roman"/>
              </w:rPr>
              <w:t>detail</w:t>
            </w:r>
            <w:r w:rsidR="00EA758B">
              <w:rPr>
                <w:rFonts w:ascii="Times New Roman" w:hAnsi="Times New Roman" w:cs="Times New Roman"/>
              </w:rPr>
              <w:t xml:space="preserve"> the </w:t>
            </w:r>
            <w:r w:rsidR="00225B14" w:rsidRPr="00A345A7">
              <w:rPr>
                <w:rFonts w:ascii="Times New Roman" w:hAnsi="Times New Roman" w:cs="Times New Roman"/>
              </w:rPr>
              <w:t>water sources options available, water use, treatment requirements and estimated consumption during the operation phase of the project and the water minimization programs to be adopted and KPIs to be used</w:t>
            </w:r>
          </w:p>
        </w:tc>
        <w:tc>
          <w:tcPr>
            <w:tcW w:w="2070" w:type="dxa"/>
          </w:tcPr>
          <w:p w14:paraId="16BD2108" w14:textId="656C28CB" w:rsidR="00225B14" w:rsidRPr="0002086A" w:rsidRDefault="0002086A" w:rsidP="00225B14">
            <w:pPr>
              <w:jc w:val="center"/>
              <w:rPr>
                <w:rFonts w:ascii="Times New Roman" w:hAnsi="Times New Roman" w:cs="Times New Roman"/>
                <w:b/>
                <w:color w:val="00B050"/>
              </w:rPr>
            </w:pPr>
            <w:r w:rsidRPr="0002086A">
              <w:rPr>
                <w:rFonts w:ascii="Times New Roman" w:hAnsi="Times New Roman" w:cs="Times New Roman"/>
                <w:b/>
                <w:color w:val="00B050"/>
              </w:rPr>
              <w:t xml:space="preserve">Completed </w:t>
            </w:r>
          </w:p>
        </w:tc>
        <w:tc>
          <w:tcPr>
            <w:tcW w:w="2520" w:type="dxa"/>
          </w:tcPr>
          <w:p w14:paraId="43BA241F" w14:textId="0B3F6512" w:rsidR="00225B14" w:rsidRPr="00A345A7" w:rsidRDefault="00865443" w:rsidP="00225B14">
            <w:pPr>
              <w:rPr>
                <w:rFonts w:ascii="Times New Roman" w:hAnsi="Times New Roman" w:cs="Times New Roman"/>
              </w:rPr>
            </w:pPr>
            <w:r>
              <w:rPr>
                <w:rFonts w:ascii="Times New Roman" w:hAnsi="Times New Roman" w:cs="Times New Roman"/>
              </w:rPr>
              <w:t xml:space="preserve">Submit to MIGA a common </w:t>
            </w:r>
            <w:r w:rsidR="00225B14" w:rsidRPr="00A345A7">
              <w:rPr>
                <w:rFonts w:ascii="Times New Roman" w:hAnsi="Times New Roman" w:cs="Times New Roman"/>
              </w:rPr>
              <w:t xml:space="preserve">Water Management Plan </w:t>
            </w:r>
          </w:p>
          <w:p w14:paraId="7FE05407" w14:textId="77777777" w:rsidR="00225B14" w:rsidRPr="00A345A7" w:rsidRDefault="00225B14" w:rsidP="00225B14">
            <w:pPr>
              <w:rPr>
                <w:rFonts w:ascii="Times New Roman" w:hAnsi="Times New Roman" w:cs="Times New Roman"/>
              </w:rPr>
            </w:pPr>
          </w:p>
          <w:p w14:paraId="04C30C7B" w14:textId="18E3333B" w:rsidR="00225B14" w:rsidRPr="00A345A7" w:rsidRDefault="00225B14" w:rsidP="00225B14">
            <w:pPr>
              <w:rPr>
                <w:rFonts w:ascii="Times New Roman" w:hAnsi="Times New Roman" w:cs="Times New Roman"/>
              </w:rPr>
            </w:pPr>
            <w:r w:rsidRPr="00A345A7">
              <w:rPr>
                <w:rFonts w:ascii="Times New Roman" w:hAnsi="Times New Roman" w:cs="Times New Roman"/>
              </w:rPr>
              <w:t>Provide Water KPIs</w:t>
            </w:r>
          </w:p>
        </w:tc>
      </w:tr>
      <w:tr w:rsidR="00523078" w:rsidRPr="00A47F19" w14:paraId="441142FC" w14:textId="77777777" w:rsidTr="0002086A">
        <w:trPr>
          <w:trHeight w:val="782"/>
        </w:trPr>
        <w:tc>
          <w:tcPr>
            <w:tcW w:w="6300" w:type="dxa"/>
          </w:tcPr>
          <w:p w14:paraId="6A93049B" w14:textId="4D6BEADE" w:rsidR="00523078" w:rsidRPr="00CC3D23" w:rsidRDefault="00A505F1" w:rsidP="000153D9">
            <w:pPr>
              <w:pStyle w:val="ListParagraph"/>
              <w:numPr>
                <w:ilvl w:val="0"/>
                <w:numId w:val="1"/>
              </w:numPr>
              <w:rPr>
                <w:rFonts w:ascii="Times New Roman" w:hAnsi="Times New Roman" w:cs="Times New Roman"/>
              </w:rPr>
            </w:pPr>
            <w:r w:rsidRPr="00A505F1">
              <w:rPr>
                <w:rFonts w:ascii="Times New Roman" w:hAnsi="Times New Roman" w:cs="Times New Roman"/>
              </w:rPr>
              <w:t>PE will develop a common waste management plan for the 6 projects in line wit</w:t>
            </w:r>
            <w:r>
              <w:rPr>
                <w:rFonts w:ascii="Times New Roman" w:hAnsi="Times New Roman" w:cs="Times New Roman"/>
              </w:rPr>
              <w:t xml:space="preserve">h </w:t>
            </w:r>
            <w:r w:rsidRPr="00A505F1">
              <w:rPr>
                <w:rFonts w:ascii="Times New Roman" w:hAnsi="Times New Roman" w:cs="Times New Roman"/>
              </w:rPr>
              <w:t xml:space="preserve">MIGA PS 3 requirements and aligned with FMC waste management </w:t>
            </w:r>
            <w:r>
              <w:rPr>
                <w:rFonts w:ascii="Times New Roman" w:hAnsi="Times New Roman" w:cs="Times New Roman"/>
              </w:rPr>
              <w:t xml:space="preserve">procedures for the operation phase. </w:t>
            </w:r>
            <w:r w:rsidRPr="00A505F1">
              <w:rPr>
                <w:rFonts w:ascii="Times New Roman" w:hAnsi="Times New Roman" w:cs="Times New Roman"/>
              </w:rPr>
              <w:t xml:space="preserve"> </w:t>
            </w:r>
          </w:p>
        </w:tc>
        <w:tc>
          <w:tcPr>
            <w:tcW w:w="2070" w:type="dxa"/>
          </w:tcPr>
          <w:p w14:paraId="25249869" w14:textId="2FA78BC1" w:rsidR="00523078" w:rsidRPr="0002086A" w:rsidRDefault="0002086A" w:rsidP="00225B14">
            <w:pPr>
              <w:jc w:val="center"/>
              <w:rPr>
                <w:rFonts w:ascii="Times New Roman" w:hAnsi="Times New Roman" w:cs="Times New Roman"/>
                <w:b/>
                <w:color w:val="00B050"/>
              </w:rPr>
            </w:pPr>
            <w:r w:rsidRPr="0002086A">
              <w:rPr>
                <w:rFonts w:ascii="Times New Roman" w:hAnsi="Times New Roman" w:cs="Times New Roman"/>
                <w:b/>
                <w:color w:val="00B050"/>
              </w:rPr>
              <w:t xml:space="preserve">Completed </w:t>
            </w:r>
          </w:p>
        </w:tc>
        <w:tc>
          <w:tcPr>
            <w:tcW w:w="2520" w:type="dxa"/>
          </w:tcPr>
          <w:p w14:paraId="07F7AF6B" w14:textId="1224D34B" w:rsidR="00523078" w:rsidRPr="0010773E" w:rsidRDefault="00523078" w:rsidP="00225B14">
            <w:pPr>
              <w:rPr>
                <w:rFonts w:ascii="Times New Roman" w:hAnsi="Times New Roman" w:cs="Times New Roman"/>
              </w:rPr>
            </w:pPr>
            <w:r w:rsidRPr="00523078">
              <w:rPr>
                <w:rFonts w:ascii="Times New Roman" w:hAnsi="Times New Roman" w:cs="Times New Roman"/>
              </w:rPr>
              <w:t>Submit to MIGA</w:t>
            </w:r>
            <w:r w:rsidR="00A505F1">
              <w:rPr>
                <w:rFonts w:ascii="Times New Roman" w:hAnsi="Times New Roman" w:cs="Times New Roman"/>
              </w:rPr>
              <w:t xml:space="preserve"> common </w:t>
            </w:r>
            <w:r w:rsidRPr="00523078">
              <w:rPr>
                <w:rFonts w:ascii="Times New Roman" w:hAnsi="Times New Roman" w:cs="Times New Roman"/>
              </w:rPr>
              <w:t>waste management plan during operations phase</w:t>
            </w:r>
            <w:r w:rsidR="00CC3D23">
              <w:rPr>
                <w:rFonts w:ascii="Times New Roman" w:hAnsi="Times New Roman" w:cs="Times New Roman"/>
              </w:rPr>
              <w:t>.</w:t>
            </w:r>
          </w:p>
        </w:tc>
      </w:tr>
      <w:tr w:rsidR="00EF29E1" w:rsidRPr="00A47F19" w14:paraId="1549CA41" w14:textId="77777777" w:rsidTr="0002086A">
        <w:tc>
          <w:tcPr>
            <w:tcW w:w="6300" w:type="dxa"/>
          </w:tcPr>
          <w:p w14:paraId="63396B0A" w14:textId="566ECD6D" w:rsidR="00EF29E1" w:rsidRPr="0010773E" w:rsidRDefault="00F76468" w:rsidP="00523078">
            <w:pPr>
              <w:pStyle w:val="ListParagraph"/>
              <w:numPr>
                <w:ilvl w:val="0"/>
                <w:numId w:val="1"/>
              </w:numPr>
              <w:rPr>
                <w:rFonts w:ascii="Times New Roman" w:hAnsi="Times New Roman" w:cs="Times New Roman"/>
              </w:rPr>
            </w:pPr>
            <w:r w:rsidRPr="00F76468">
              <w:rPr>
                <w:rFonts w:ascii="Times New Roman" w:hAnsi="Times New Roman" w:cs="Times New Roman"/>
              </w:rPr>
              <w:t>PE will develop a procedure for managing the disposal of broken and ‘end of life’ modules, which will be in line with MIGA PS 3 requirements</w:t>
            </w:r>
            <w:r>
              <w:rPr>
                <w:rFonts w:ascii="Times New Roman" w:hAnsi="Times New Roman" w:cs="Times New Roman"/>
              </w:rPr>
              <w:t xml:space="preserve">, Egyptian laws </w:t>
            </w:r>
            <w:r w:rsidRPr="00F76468">
              <w:rPr>
                <w:rFonts w:ascii="Times New Roman" w:hAnsi="Times New Roman" w:cs="Times New Roman"/>
              </w:rPr>
              <w:t xml:space="preserve">and FMC requirements </w:t>
            </w:r>
          </w:p>
        </w:tc>
        <w:tc>
          <w:tcPr>
            <w:tcW w:w="2070" w:type="dxa"/>
          </w:tcPr>
          <w:p w14:paraId="2CCC5193" w14:textId="31037E0A" w:rsidR="00EF29E1" w:rsidRPr="001D6ADD" w:rsidRDefault="00632CFF" w:rsidP="00225B14">
            <w:pPr>
              <w:jc w:val="center"/>
              <w:rPr>
                <w:rFonts w:ascii="Times New Roman" w:hAnsi="Times New Roman" w:cs="Times New Roman"/>
                <w:b/>
              </w:rPr>
            </w:pPr>
            <w:r w:rsidRPr="00632CFF">
              <w:rPr>
                <w:rFonts w:ascii="Times New Roman" w:hAnsi="Times New Roman" w:cs="Times New Roman"/>
                <w:b/>
                <w:color w:val="00B050"/>
              </w:rPr>
              <w:t>Completed</w:t>
            </w:r>
          </w:p>
        </w:tc>
        <w:tc>
          <w:tcPr>
            <w:tcW w:w="2520" w:type="dxa"/>
          </w:tcPr>
          <w:p w14:paraId="3562404E" w14:textId="3F007FE5" w:rsidR="00EF29E1" w:rsidRPr="0010773E" w:rsidRDefault="00317538" w:rsidP="00225B14">
            <w:pPr>
              <w:rPr>
                <w:rFonts w:ascii="Times New Roman" w:hAnsi="Times New Roman" w:cs="Times New Roman"/>
              </w:rPr>
            </w:pPr>
            <w:r>
              <w:rPr>
                <w:rFonts w:ascii="Times New Roman" w:hAnsi="Times New Roman" w:cs="Times New Roman"/>
              </w:rPr>
              <w:t xml:space="preserve">Submit to MIGA </w:t>
            </w:r>
            <w:r w:rsidRPr="00317538">
              <w:rPr>
                <w:rFonts w:ascii="Times New Roman" w:hAnsi="Times New Roman" w:cs="Times New Roman"/>
              </w:rPr>
              <w:t>procedure for managing the disposal of broken and ‘end of life’ modules</w:t>
            </w:r>
            <w:r>
              <w:rPr>
                <w:rFonts w:ascii="Times New Roman" w:hAnsi="Times New Roman" w:cs="Times New Roman"/>
              </w:rPr>
              <w:t>.</w:t>
            </w:r>
          </w:p>
        </w:tc>
      </w:tr>
      <w:tr w:rsidR="00DF53E7" w:rsidRPr="00A47F19" w14:paraId="2471A618" w14:textId="77777777" w:rsidTr="007441F1">
        <w:trPr>
          <w:trHeight w:val="332"/>
        </w:trPr>
        <w:tc>
          <w:tcPr>
            <w:tcW w:w="10890" w:type="dxa"/>
            <w:gridSpan w:val="3"/>
          </w:tcPr>
          <w:p w14:paraId="45DC0326" w14:textId="77777777" w:rsidR="00DF53E7" w:rsidRPr="00173024" w:rsidRDefault="00DF53E7" w:rsidP="00FC3C34">
            <w:pPr>
              <w:keepNext/>
              <w:rPr>
                <w:rFonts w:ascii="Times New Roman" w:hAnsi="Times New Roman" w:cs="Times New Roman"/>
                <w:b/>
                <w:sz w:val="24"/>
                <w:szCs w:val="24"/>
              </w:rPr>
            </w:pPr>
            <w:r w:rsidRPr="00173024">
              <w:rPr>
                <w:rFonts w:ascii="Times New Roman" w:hAnsi="Times New Roman" w:cs="Times New Roman"/>
                <w:b/>
                <w:sz w:val="24"/>
                <w:szCs w:val="24"/>
              </w:rPr>
              <w:t>PS4: Community Health, Safety and Security</w:t>
            </w:r>
          </w:p>
        </w:tc>
      </w:tr>
      <w:tr w:rsidR="00FC3C34" w:rsidRPr="00A47F19" w14:paraId="528FD4C7" w14:textId="77777777" w:rsidTr="0002086A">
        <w:tc>
          <w:tcPr>
            <w:tcW w:w="6300" w:type="dxa"/>
          </w:tcPr>
          <w:p w14:paraId="55BCB100" w14:textId="140C71F1" w:rsidR="00C76210" w:rsidRDefault="00C76210" w:rsidP="00523078">
            <w:pPr>
              <w:pStyle w:val="ListParagraph"/>
              <w:numPr>
                <w:ilvl w:val="0"/>
                <w:numId w:val="1"/>
              </w:numPr>
              <w:rPr>
                <w:rFonts w:ascii="Times New Roman" w:eastAsia="Times New Roman" w:hAnsi="Times New Roman" w:cs="Times New Roman"/>
                <w:iCs/>
              </w:rPr>
            </w:pPr>
            <w:r w:rsidRPr="00C76210">
              <w:rPr>
                <w:rFonts w:ascii="Times New Roman" w:eastAsia="Times New Roman" w:hAnsi="Times New Roman" w:cs="Times New Roman"/>
                <w:iCs/>
              </w:rPr>
              <w:t>The PE will update and develop a common security management plan for the 6 projects that captures key elements of PS 4 and is aligned with FMC’s security management plan for the operations phase.</w:t>
            </w:r>
          </w:p>
          <w:p w14:paraId="16C8FF70" w14:textId="5C36CE70" w:rsidR="00FC3C34" w:rsidRPr="00317538" w:rsidRDefault="00FC3C34" w:rsidP="00317538">
            <w:pPr>
              <w:ind w:left="360"/>
              <w:rPr>
                <w:rFonts w:ascii="Times New Roman" w:eastAsia="Times New Roman" w:hAnsi="Times New Roman" w:cs="Times New Roman"/>
                <w:iCs/>
              </w:rPr>
            </w:pPr>
          </w:p>
        </w:tc>
        <w:tc>
          <w:tcPr>
            <w:tcW w:w="2070" w:type="dxa"/>
          </w:tcPr>
          <w:p w14:paraId="37FC2A2E" w14:textId="082A87AD" w:rsidR="00FC3C34" w:rsidRPr="0002086A" w:rsidRDefault="00323BDC" w:rsidP="003D5C17">
            <w:pPr>
              <w:rPr>
                <w:rFonts w:ascii="Times New Roman" w:hAnsi="Times New Roman" w:cs="Times New Roman"/>
                <w:b/>
              </w:rPr>
            </w:pPr>
            <w:r w:rsidRPr="0002086A">
              <w:rPr>
                <w:rFonts w:ascii="Times New Roman" w:hAnsi="Times New Roman" w:cs="Times New Roman"/>
                <w:b/>
                <w:color w:val="FF0000"/>
              </w:rPr>
              <w:t xml:space="preserve">     </w:t>
            </w:r>
            <w:r w:rsidR="00632CFF" w:rsidRPr="00632CFF">
              <w:rPr>
                <w:rFonts w:ascii="Times New Roman" w:hAnsi="Times New Roman" w:cs="Times New Roman"/>
                <w:b/>
                <w:color w:val="00B050"/>
              </w:rPr>
              <w:t>Completed</w:t>
            </w:r>
          </w:p>
        </w:tc>
        <w:tc>
          <w:tcPr>
            <w:tcW w:w="2520" w:type="dxa"/>
          </w:tcPr>
          <w:p w14:paraId="5FEAECEB" w14:textId="30C53065" w:rsidR="00FC3C34" w:rsidRPr="00173024" w:rsidRDefault="00173024" w:rsidP="003D5C17">
            <w:pPr>
              <w:rPr>
                <w:rFonts w:ascii="Times New Roman" w:hAnsi="Times New Roman" w:cs="Times New Roman"/>
              </w:rPr>
            </w:pPr>
            <w:r w:rsidRPr="00173024">
              <w:rPr>
                <w:rFonts w:ascii="Times New Roman" w:hAnsi="Times New Roman" w:cs="Times New Roman"/>
              </w:rPr>
              <w:t xml:space="preserve">Submit to MIGA </w:t>
            </w:r>
            <w:r w:rsidR="00C76210">
              <w:rPr>
                <w:rFonts w:ascii="Times New Roman" w:hAnsi="Times New Roman" w:cs="Times New Roman"/>
              </w:rPr>
              <w:t xml:space="preserve">common </w:t>
            </w:r>
            <w:r>
              <w:rPr>
                <w:rFonts w:ascii="Times New Roman" w:hAnsi="Times New Roman" w:cs="Times New Roman"/>
              </w:rPr>
              <w:t xml:space="preserve">security </w:t>
            </w:r>
            <w:r w:rsidRPr="00173024">
              <w:rPr>
                <w:rFonts w:ascii="Times New Roman" w:hAnsi="Times New Roman" w:cs="Times New Roman"/>
              </w:rPr>
              <w:t>management plan.</w:t>
            </w:r>
          </w:p>
        </w:tc>
      </w:tr>
    </w:tbl>
    <w:p w14:paraId="3E9D3E12" w14:textId="77777777" w:rsidR="00941596" w:rsidRPr="00EF64BA" w:rsidRDefault="00941596" w:rsidP="005F2CC7">
      <w:pPr>
        <w:rPr>
          <w:rFonts w:ascii="Times New Roman" w:hAnsi="Times New Roman" w:cs="Times New Roman"/>
          <w:color w:val="00B050"/>
        </w:rPr>
      </w:pPr>
    </w:p>
    <w:sectPr w:rsidR="00941596" w:rsidRPr="00EF64BA" w:rsidSect="000E798A">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D374F" w14:textId="77777777" w:rsidR="00A16975" w:rsidRDefault="00A16975" w:rsidP="000E798A">
      <w:pPr>
        <w:spacing w:after="0" w:line="240" w:lineRule="auto"/>
      </w:pPr>
      <w:r>
        <w:separator/>
      </w:r>
    </w:p>
  </w:endnote>
  <w:endnote w:type="continuationSeparator" w:id="0">
    <w:p w14:paraId="3862CC7F" w14:textId="77777777" w:rsidR="00A16975" w:rsidRDefault="00A16975" w:rsidP="000E7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0B803" w14:textId="77777777" w:rsidR="00A16975" w:rsidRDefault="00A16975" w:rsidP="000E798A">
      <w:pPr>
        <w:spacing w:after="0" w:line="240" w:lineRule="auto"/>
      </w:pPr>
      <w:r>
        <w:separator/>
      </w:r>
    </w:p>
  </w:footnote>
  <w:footnote w:type="continuationSeparator" w:id="0">
    <w:p w14:paraId="06897DB8" w14:textId="77777777" w:rsidR="00A16975" w:rsidRDefault="00A16975" w:rsidP="000E7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A16EE"/>
    <w:multiLevelType w:val="hybridMultilevel"/>
    <w:tmpl w:val="87D6A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A3420"/>
    <w:multiLevelType w:val="hybridMultilevel"/>
    <w:tmpl w:val="024A1B78"/>
    <w:lvl w:ilvl="0" w:tplc="2B804A0C">
      <w:start w:val="16"/>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3149E"/>
    <w:multiLevelType w:val="hybridMultilevel"/>
    <w:tmpl w:val="B302C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8084A"/>
    <w:multiLevelType w:val="hybridMultilevel"/>
    <w:tmpl w:val="8BB8AA1E"/>
    <w:lvl w:ilvl="0" w:tplc="B4047BFA">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9665D"/>
    <w:multiLevelType w:val="hybridMultilevel"/>
    <w:tmpl w:val="D94AAB86"/>
    <w:lvl w:ilvl="0" w:tplc="D63A010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3C31E4"/>
    <w:multiLevelType w:val="hybridMultilevel"/>
    <w:tmpl w:val="3E50E9C4"/>
    <w:lvl w:ilvl="0" w:tplc="F89E709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9D1266"/>
    <w:multiLevelType w:val="hybridMultilevel"/>
    <w:tmpl w:val="EE2CB208"/>
    <w:lvl w:ilvl="0" w:tplc="DDF471DE">
      <w:start w:val="1"/>
      <w:numFmt w:val="lowerLetter"/>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D46C4"/>
    <w:multiLevelType w:val="hybridMultilevel"/>
    <w:tmpl w:val="2F9E154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640CD5"/>
    <w:multiLevelType w:val="hybridMultilevel"/>
    <w:tmpl w:val="FAA674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D053B"/>
    <w:multiLevelType w:val="hybridMultilevel"/>
    <w:tmpl w:val="6818B8B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97525"/>
    <w:multiLevelType w:val="hybridMultilevel"/>
    <w:tmpl w:val="BB54F6F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233454"/>
    <w:multiLevelType w:val="hybridMultilevel"/>
    <w:tmpl w:val="8554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14DEE"/>
    <w:multiLevelType w:val="hybridMultilevel"/>
    <w:tmpl w:val="B302C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E3488"/>
    <w:multiLevelType w:val="hybridMultilevel"/>
    <w:tmpl w:val="8BB8AA1E"/>
    <w:lvl w:ilvl="0" w:tplc="B4047BFA">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47D2F"/>
    <w:multiLevelType w:val="hybridMultilevel"/>
    <w:tmpl w:val="4C58258C"/>
    <w:lvl w:ilvl="0" w:tplc="1024B996">
      <w:start w:val="1"/>
      <w:numFmt w:val="decimal"/>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479D092D"/>
    <w:multiLevelType w:val="hybridMultilevel"/>
    <w:tmpl w:val="44CCC3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FF1B5D"/>
    <w:multiLevelType w:val="hybridMultilevel"/>
    <w:tmpl w:val="630C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D10CAC"/>
    <w:multiLevelType w:val="hybridMultilevel"/>
    <w:tmpl w:val="B2E4898C"/>
    <w:lvl w:ilvl="0" w:tplc="70863BA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FF6F15"/>
    <w:multiLevelType w:val="hybridMultilevel"/>
    <w:tmpl w:val="52B42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46BA6"/>
    <w:multiLevelType w:val="hybridMultilevel"/>
    <w:tmpl w:val="0866A5FE"/>
    <w:lvl w:ilvl="0" w:tplc="B34E6204">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001F67"/>
    <w:multiLevelType w:val="hybridMultilevel"/>
    <w:tmpl w:val="DBEED0D8"/>
    <w:lvl w:ilvl="0" w:tplc="E026CCF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A6906"/>
    <w:multiLevelType w:val="hybridMultilevel"/>
    <w:tmpl w:val="D8E0B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E0571E"/>
    <w:multiLevelType w:val="hybridMultilevel"/>
    <w:tmpl w:val="87D6A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8D2FCD"/>
    <w:multiLevelType w:val="hybridMultilevel"/>
    <w:tmpl w:val="A9B4ED5E"/>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E17E4E"/>
    <w:multiLevelType w:val="hybridMultilevel"/>
    <w:tmpl w:val="3104E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D05550"/>
    <w:multiLevelType w:val="hybridMultilevel"/>
    <w:tmpl w:val="DC4A9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D476D2"/>
    <w:multiLevelType w:val="hybridMultilevel"/>
    <w:tmpl w:val="0BBC6850"/>
    <w:lvl w:ilvl="0" w:tplc="B26EDDD6">
      <w:start w:val="6"/>
      <w:numFmt w:val="decimal"/>
      <w:lvlText w:val="%1."/>
      <w:lvlJc w:val="left"/>
      <w:pPr>
        <w:ind w:left="720" w:hanging="360"/>
      </w:pPr>
      <w:rPr>
        <w:rFonts w:asciiTheme="minorHAnsi" w:eastAsiaTheme="minorHAnsi" w:hAnsiTheme="minorHAnsi"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5E2493"/>
    <w:multiLevelType w:val="hybridMultilevel"/>
    <w:tmpl w:val="2DD0F2EC"/>
    <w:lvl w:ilvl="0" w:tplc="B4047BFA">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B07C74"/>
    <w:multiLevelType w:val="hybridMultilevel"/>
    <w:tmpl w:val="8454169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4"/>
  </w:num>
  <w:num w:numId="3">
    <w:abstractNumId w:val="5"/>
  </w:num>
  <w:num w:numId="4">
    <w:abstractNumId w:val="18"/>
  </w:num>
  <w:num w:numId="5">
    <w:abstractNumId w:val="21"/>
  </w:num>
  <w:num w:numId="6">
    <w:abstractNumId w:val="11"/>
  </w:num>
  <w:num w:numId="7">
    <w:abstractNumId w:val="2"/>
  </w:num>
  <w:num w:numId="8">
    <w:abstractNumId w:val="12"/>
  </w:num>
  <w:num w:numId="9">
    <w:abstractNumId w:val="15"/>
  </w:num>
  <w:num w:numId="10">
    <w:abstractNumId w:val="7"/>
  </w:num>
  <w:num w:numId="11">
    <w:abstractNumId w:val="10"/>
  </w:num>
  <w:num w:numId="12">
    <w:abstractNumId w:val="8"/>
  </w:num>
  <w:num w:numId="13">
    <w:abstractNumId w:val="17"/>
  </w:num>
  <w:num w:numId="14">
    <w:abstractNumId w:val="23"/>
  </w:num>
  <w:num w:numId="15">
    <w:abstractNumId w:val="6"/>
  </w:num>
  <w:num w:numId="16">
    <w:abstractNumId w:val="1"/>
  </w:num>
  <w:num w:numId="17">
    <w:abstractNumId w:val="26"/>
  </w:num>
  <w:num w:numId="18">
    <w:abstractNumId w:val="9"/>
  </w:num>
  <w:num w:numId="19">
    <w:abstractNumId w:val="19"/>
  </w:num>
  <w:num w:numId="20">
    <w:abstractNumId w:val="20"/>
  </w:num>
  <w:num w:numId="21">
    <w:abstractNumId w:val="27"/>
  </w:num>
  <w:num w:numId="22">
    <w:abstractNumId w:val="4"/>
  </w:num>
  <w:num w:numId="23">
    <w:abstractNumId w:val="13"/>
  </w:num>
  <w:num w:numId="24">
    <w:abstractNumId w:val="3"/>
  </w:num>
  <w:num w:numId="25">
    <w:abstractNumId w:val="16"/>
  </w:num>
  <w:num w:numId="26">
    <w:abstractNumId w:val="25"/>
  </w:num>
  <w:num w:numId="27">
    <w:abstractNumId w:val="24"/>
  </w:num>
  <w:num w:numId="28">
    <w:abstractNumId w:val="2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660"/>
    <w:rsid w:val="000062EC"/>
    <w:rsid w:val="0001245B"/>
    <w:rsid w:val="000153D9"/>
    <w:rsid w:val="00015CB4"/>
    <w:rsid w:val="0002086A"/>
    <w:rsid w:val="0003653E"/>
    <w:rsid w:val="00041DD4"/>
    <w:rsid w:val="000422F9"/>
    <w:rsid w:val="00043F8A"/>
    <w:rsid w:val="000501AE"/>
    <w:rsid w:val="00066740"/>
    <w:rsid w:val="0007258B"/>
    <w:rsid w:val="00074811"/>
    <w:rsid w:val="0009196B"/>
    <w:rsid w:val="000A08BC"/>
    <w:rsid w:val="000A0AA5"/>
    <w:rsid w:val="000B54DA"/>
    <w:rsid w:val="000B7E4A"/>
    <w:rsid w:val="000C7668"/>
    <w:rsid w:val="000D0684"/>
    <w:rsid w:val="000E2ED8"/>
    <w:rsid w:val="000E74F6"/>
    <w:rsid w:val="000E798A"/>
    <w:rsid w:val="000F3732"/>
    <w:rsid w:val="000F4CAA"/>
    <w:rsid w:val="00101CB3"/>
    <w:rsid w:val="0010773E"/>
    <w:rsid w:val="001569AC"/>
    <w:rsid w:val="00156AA2"/>
    <w:rsid w:val="0015778D"/>
    <w:rsid w:val="0016006E"/>
    <w:rsid w:val="00173024"/>
    <w:rsid w:val="001806E3"/>
    <w:rsid w:val="001D6ADD"/>
    <w:rsid w:val="001D7645"/>
    <w:rsid w:val="001E1693"/>
    <w:rsid w:val="00200A83"/>
    <w:rsid w:val="00201243"/>
    <w:rsid w:val="00203A47"/>
    <w:rsid w:val="00212269"/>
    <w:rsid w:val="002157A6"/>
    <w:rsid w:val="00225B14"/>
    <w:rsid w:val="00240390"/>
    <w:rsid w:val="002448FC"/>
    <w:rsid w:val="00250766"/>
    <w:rsid w:val="00275B3D"/>
    <w:rsid w:val="00284BD0"/>
    <w:rsid w:val="002856D0"/>
    <w:rsid w:val="002945DB"/>
    <w:rsid w:val="0029536A"/>
    <w:rsid w:val="002A4E36"/>
    <w:rsid w:val="002A68CB"/>
    <w:rsid w:val="002B1318"/>
    <w:rsid w:val="002B6FD1"/>
    <w:rsid w:val="002C00E7"/>
    <w:rsid w:val="002C063B"/>
    <w:rsid w:val="002C15F5"/>
    <w:rsid w:val="002C5144"/>
    <w:rsid w:val="002C68F5"/>
    <w:rsid w:val="002F0796"/>
    <w:rsid w:val="002F3F1C"/>
    <w:rsid w:val="0030500E"/>
    <w:rsid w:val="0031292F"/>
    <w:rsid w:val="00317538"/>
    <w:rsid w:val="00323BDC"/>
    <w:rsid w:val="00354BF8"/>
    <w:rsid w:val="003611A7"/>
    <w:rsid w:val="003659F0"/>
    <w:rsid w:val="0038320F"/>
    <w:rsid w:val="00384CF0"/>
    <w:rsid w:val="00386421"/>
    <w:rsid w:val="00393728"/>
    <w:rsid w:val="00395032"/>
    <w:rsid w:val="003B73C3"/>
    <w:rsid w:val="003C6630"/>
    <w:rsid w:val="003C6B7E"/>
    <w:rsid w:val="003C6D20"/>
    <w:rsid w:val="003D61B4"/>
    <w:rsid w:val="003E5EAF"/>
    <w:rsid w:val="003E7F24"/>
    <w:rsid w:val="003F5528"/>
    <w:rsid w:val="00401C07"/>
    <w:rsid w:val="004023A5"/>
    <w:rsid w:val="00402FF0"/>
    <w:rsid w:val="00421CD6"/>
    <w:rsid w:val="004357CC"/>
    <w:rsid w:val="00451281"/>
    <w:rsid w:val="00462588"/>
    <w:rsid w:val="00465A66"/>
    <w:rsid w:val="00473103"/>
    <w:rsid w:val="00473529"/>
    <w:rsid w:val="00484F38"/>
    <w:rsid w:val="004854D3"/>
    <w:rsid w:val="00490826"/>
    <w:rsid w:val="004912F3"/>
    <w:rsid w:val="004942ED"/>
    <w:rsid w:val="004955D1"/>
    <w:rsid w:val="004B0EFF"/>
    <w:rsid w:val="004B197D"/>
    <w:rsid w:val="004C0F98"/>
    <w:rsid w:val="004C33A8"/>
    <w:rsid w:val="004C394F"/>
    <w:rsid w:val="004F2C32"/>
    <w:rsid w:val="004F464D"/>
    <w:rsid w:val="00511EAE"/>
    <w:rsid w:val="005139BB"/>
    <w:rsid w:val="00523078"/>
    <w:rsid w:val="00523EA0"/>
    <w:rsid w:val="00533367"/>
    <w:rsid w:val="005351F4"/>
    <w:rsid w:val="00544146"/>
    <w:rsid w:val="00545AAC"/>
    <w:rsid w:val="00551329"/>
    <w:rsid w:val="00561DAE"/>
    <w:rsid w:val="005655C0"/>
    <w:rsid w:val="0057043C"/>
    <w:rsid w:val="00577993"/>
    <w:rsid w:val="00586660"/>
    <w:rsid w:val="005F2CC7"/>
    <w:rsid w:val="006073BB"/>
    <w:rsid w:val="00612C65"/>
    <w:rsid w:val="00620DE9"/>
    <w:rsid w:val="00632CFF"/>
    <w:rsid w:val="00641D7F"/>
    <w:rsid w:val="00642F0E"/>
    <w:rsid w:val="00647847"/>
    <w:rsid w:val="00651338"/>
    <w:rsid w:val="006628B7"/>
    <w:rsid w:val="00663FA8"/>
    <w:rsid w:val="0066793D"/>
    <w:rsid w:val="00693462"/>
    <w:rsid w:val="006A3D20"/>
    <w:rsid w:val="006B7612"/>
    <w:rsid w:val="006C53B6"/>
    <w:rsid w:val="006C6E4C"/>
    <w:rsid w:val="006D3635"/>
    <w:rsid w:val="006E2843"/>
    <w:rsid w:val="00713168"/>
    <w:rsid w:val="00722B3A"/>
    <w:rsid w:val="00736C4D"/>
    <w:rsid w:val="007441F1"/>
    <w:rsid w:val="007468E2"/>
    <w:rsid w:val="00763CF2"/>
    <w:rsid w:val="00764A04"/>
    <w:rsid w:val="00780592"/>
    <w:rsid w:val="007836F6"/>
    <w:rsid w:val="007A598D"/>
    <w:rsid w:val="007B041E"/>
    <w:rsid w:val="007B0AFF"/>
    <w:rsid w:val="007B4A92"/>
    <w:rsid w:val="007C58B2"/>
    <w:rsid w:val="007E41A5"/>
    <w:rsid w:val="007E4505"/>
    <w:rsid w:val="00803537"/>
    <w:rsid w:val="00813AC7"/>
    <w:rsid w:val="00815629"/>
    <w:rsid w:val="008240BD"/>
    <w:rsid w:val="00826864"/>
    <w:rsid w:val="00835F01"/>
    <w:rsid w:val="00861308"/>
    <w:rsid w:val="0086509D"/>
    <w:rsid w:val="00865443"/>
    <w:rsid w:val="00865B9F"/>
    <w:rsid w:val="008734A4"/>
    <w:rsid w:val="008839EE"/>
    <w:rsid w:val="008A4A9C"/>
    <w:rsid w:val="008A4D3B"/>
    <w:rsid w:val="008A7FE0"/>
    <w:rsid w:val="008B4FBF"/>
    <w:rsid w:val="008D0178"/>
    <w:rsid w:val="008E4C4D"/>
    <w:rsid w:val="008F374F"/>
    <w:rsid w:val="00916E0E"/>
    <w:rsid w:val="009204CA"/>
    <w:rsid w:val="00940D5F"/>
    <w:rsid w:val="00941596"/>
    <w:rsid w:val="009616D9"/>
    <w:rsid w:val="00981128"/>
    <w:rsid w:val="009B0341"/>
    <w:rsid w:val="009C09F2"/>
    <w:rsid w:val="009C2C93"/>
    <w:rsid w:val="009C4266"/>
    <w:rsid w:val="009C4481"/>
    <w:rsid w:val="009D7136"/>
    <w:rsid w:val="009E0C87"/>
    <w:rsid w:val="009E5419"/>
    <w:rsid w:val="00A015E9"/>
    <w:rsid w:val="00A03378"/>
    <w:rsid w:val="00A16975"/>
    <w:rsid w:val="00A2066C"/>
    <w:rsid w:val="00A22CE6"/>
    <w:rsid w:val="00A2662E"/>
    <w:rsid w:val="00A345A7"/>
    <w:rsid w:val="00A47F19"/>
    <w:rsid w:val="00A505F1"/>
    <w:rsid w:val="00A50EA3"/>
    <w:rsid w:val="00A55119"/>
    <w:rsid w:val="00A72479"/>
    <w:rsid w:val="00A8767D"/>
    <w:rsid w:val="00A87FDF"/>
    <w:rsid w:val="00A97DC7"/>
    <w:rsid w:val="00AB4B6B"/>
    <w:rsid w:val="00AD6058"/>
    <w:rsid w:val="00AE2A5C"/>
    <w:rsid w:val="00AF49C7"/>
    <w:rsid w:val="00B00193"/>
    <w:rsid w:val="00B0535D"/>
    <w:rsid w:val="00B104DF"/>
    <w:rsid w:val="00B12721"/>
    <w:rsid w:val="00B22927"/>
    <w:rsid w:val="00B2384F"/>
    <w:rsid w:val="00B2430C"/>
    <w:rsid w:val="00B26FCE"/>
    <w:rsid w:val="00B41EF6"/>
    <w:rsid w:val="00B529B5"/>
    <w:rsid w:val="00B632F4"/>
    <w:rsid w:val="00B734E9"/>
    <w:rsid w:val="00B87D14"/>
    <w:rsid w:val="00B87EC0"/>
    <w:rsid w:val="00BA2542"/>
    <w:rsid w:val="00BA4E9F"/>
    <w:rsid w:val="00BC72DC"/>
    <w:rsid w:val="00BE3942"/>
    <w:rsid w:val="00BF772B"/>
    <w:rsid w:val="00C31F73"/>
    <w:rsid w:val="00C335C0"/>
    <w:rsid w:val="00C35AF4"/>
    <w:rsid w:val="00C4406C"/>
    <w:rsid w:val="00C6375F"/>
    <w:rsid w:val="00C67899"/>
    <w:rsid w:val="00C713F9"/>
    <w:rsid w:val="00C76210"/>
    <w:rsid w:val="00C91EA6"/>
    <w:rsid w:val="00CA5B8A"/>
    <w:rsid w:val="00CB6642"/>
    <w:rsid w:val="00CC1844"/>
    <w:rsid w:val="00CC3D23"/>
    <w:rsid w:val="00CC73F0"/>
    <w:rsid w:val="00CD491E"/>
    <w:rsid w:val="00CF0E7C"/>
    <w:rsid w:val="00CF3DFE"/>
    <w:rsid w:val="00CF6F20"/>
    <w:rsid w:val="00D27771"/>
    <w:rsid w:val="00D4361E"/>
    <w:rsid w:val="00D44313"/>
    <w:rsid w:val="00D519DF"/>
    <w:rsid w:val="00D52BB6"/>
    <w:rsid w:val="00D56869"/>
    <w:rsid w:val="00D56F80"/>
    <w:rsid w:val="00D7059D"/>
    <w:rsid w:val="00D75CAD"/>
    <w:rsid w:val="00D76057"/>
    <w:rsid w:val="00D770DA"/>
    <w:rsid w:val="00D85533"/>
    <w:rsid w:val="00D86C25"/>
    <w:rsid w:val="00D94B47"/>
    <w:rsid w:val="00D94F3A"/>
    <w:rsid w:val="00DA2A34"/>
    <w:rsid w:val="00DA5061"/>
    <w:rsid w:val="00DB0FE7"/>
    <w:rsid w:val="00DB120E"/>
    <w:rsid w:val="00DC21E6"/>
    <w:rsid w:val="00DD6529"/>
    <w:rsid w:val="00DF53E7"/>
    <w:rsid w:val="00DF5CD6"/>
    <w:rsid w:val="00E10B9F"/>
    <w:rsid w:val="00E14D7E"/>
    <w:rsid w:val="00E40747"/>
    <w:rsid w:val="00E45F2B"/>
    <w:rsid w:val="00E55208"/>
    <w:rsid w:val="00E61908"/>
    <w:rsid w:val="00E75F4B"/>
    <w:rsid w:val="00E86F29"/>
    <w:rsid w:val="00E92A2C"/>
    <w:rsid w:val="00E96DD4"/>
    <w:rsid w:val="00E972B8"/>
    <w:rsid w:val="00EA2B9F"/>
    <w:rsid w:val="00EA44B9"/>
    <w:rsid w:val="00EA758B"/>
    <w:rsid w:val="00EB1E5E"/>
    <w:rsid w:val="00ED2026"/>
    <w:rsid w:val="00ED31BF"/>
    <w:rsid w:val="00ED7C27"/>
    <w:rsid w:val="00EE70B3"/>
    <w:rsid w:val="00EF00C6"/>
    <w:rsid w:val="00EF1460"/>
    <w:rsid w:val="00EF1A5D"/>
    <w:rsid w:val="00EF29E1"/>
    <w:rsid w:val="00EF5EBC"/>
    <w:rsid w:val="00EF64BA"/>
    <w:rsid w:val="00F06E4E"/>
    <w:rsid w:val="00F14DF0"/>
    <w:rsid w:val="00F37DE2"/>
    <w:rsid w:val="00F47407"/>
    <w:rsid w:val="00F64111"/>
    <w:rsid w:val="00F669D4"/>
    <w:rsid w:val="00F76468"/>
    <w:rsid w:val="00F77202"/>
    <w:rsid w:val="00F83199"/>
    <w:rsid w:val="00F8453A"/>
    <w:rsid w:val="00FA707B"/>
    <w:rsid w:val="00FB25B1"/>
    <w:rsid w:val="00FC3C34"/>
    <w:rsid w:val="00FD3432"/>
    <w:rsid w:val="00FD5C03"/>
    <w:rsid w:val="00FE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FC1C"/>
  <w15:docId w15:val="{10E22890-6C5D-48FC-825B-1A2EEBB9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00E"/>
    <w:pPr>
      <w:ind w:left="720"/>
      <w:contextualSpacing/>
    </w:pPr>
  </w:style>
  <w:style w:type="character" w:styleId="CommentReference">
    <w:name w:val="annotation reference"/>
    <w:basedOn w:val="DefaultParagraphFont"/>
    <w:uiPriority w:val="99"/>
    <w:unhideWhenUsed/>
    <w:rsid w:val="00041DD4"/>
    <w:rPr>
      <w:sz w:val="16"/>
      <w:szCs w:val="16"/>
    </w:rPr>
  </w:style>
  <w:style w:type="paragraph" w:styleId="CommentText">
    <w:name w:val="annotation text"/>
    <w:basedOn w:val="Normal"/>
    <w:link w:val="CommentTextChar"/>
    <w:uiPriority w:val="99"/>
    <w:unhideWhenUsed/>
    <w:rsid w:val="00041DD4"/>
    <w:pPr>
      <w:spacing w:line="240" w:lineRule="auto"/>
    </w:pPr>
    <w:rPr>
      <w:sz w:val="20"/>
      <w:szCs w:val="20"/>
    </w:rPr>
  </w:style>
  <w:style w:type="character" w:customStyle="1" w:styleId="CommentTextChar">
    <w:name w:val="Comment Text Char"/>
    <w:basedOn w:val="DefaultParagraphFont"/>
    <w:link w:val="CommentText"/>
    <w:uiPriority w:val="99"/>
    <w:rsid w:val="00041DD4"/>
    <w:rPr>
      <w:sz w:val="20"/>
      <w:szCs w:val="20"/>
    </w:rPr>
  </w:style>
  <w:style w:type="paragraph" w:styleId="BalloonText">
    <w:name w:val="Balloon Text"/>
    <w:basedOn w:val="Normal"/>
    <w:link w:val="BalloonTextChar"/>
    <w:uiPriority w:val="99"/>
    <w:semiHidden/>
    <w:unhideWhenUsed/>
    <w:rsid w:val="00041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DD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5419"/>
    <w:rPr>
      <w:b/>
      <w:bCs/>
    </w:rPr>
  </w:style>
  <w:style w:type="character" w:customStyle="1" w:styleId="CommentSubjectChar">
    <w:name w:val="Comment Subject Char"/>
    <w:basedOn w:val="CommentTextChar"/>
    <w:link w:val="CommentSubject"/>
    <w:uiPriority w:val="99"/>
    <w:semiHidden/>
    <w:rsid w:val="009E5419"/>
    <w:rPr>
      <w:b/>
      <w:bCs/>
      <w:sz w:val="20"/>
      <w:szCs w:val="20"/>
    </w:rPr>
  </w:style>
  <w:style w:type="paragraph" w:styleId="NormalWeb">
    <w:name w:val="Normal (Web)"/>
    <w:basedOn w:val="Normal"/>
    <w:uiPriority w:val="99"/>
    <w:unhideWhenUsed/>
    <w:rsid w:val="00D7059D"/>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0E7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98A"/>
  </w:style>
  <w:style w:type="paragraph" w:styleId="Footer">
    <w:name w:val="footer"/>
    <w:basedOn w:val="Normal"/>
    <w:link w:val="FooterChar"/>
    <w:uiPriority w:val="99"/>
    <w:unhideWhenUsed/>
    <w:rsid w:val="000E7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30F44CA15F64C8BBE25674DAF616E" ma:contentTypeVersion="13" ma:contentTypeDescription="Create a new document." ma:contentTypeScope="" ma:versionID="1700002205d1fc6dabf920c39e2c1444">
  <xsd:schema xmlns:xsd="http://www.w3.org/2001/XMLSchema" xmlns:xs="http://www.w3.org/2001/XMLSchema" xmlns:p="http://schemas.microsoft.com/office/2006/metadata/properties" xmlns:ns3="07830f37-cc34-4d74-af8b-5b16a2b0ce64" xmlns:ns4="25a1a2df-33bc-4d16-874b-bf46a243b1a2" targetNamespace="http://schemas.microsoft.com/office/2006/metadata/properties" ma:root="true" ma:fieldsID="68eec208f838fe5e8a45af1eb60f6584" ns3:_="" ns4:_="">
    <xsd:import namespace="07830f37-cc34-4d74-af8b-5b16a2b0ce64"/>
    <xsd:import namespace="25a1a2df-33bc-4d16-874b-bf46a243b1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0f37-cc34-4d74-af8b-5b16a2b0c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a1a2df-33bc-4d16-874b-bf46a243b1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4555A4-E0BD-4D4B-AAE2-A1F133016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0f37-cc34-4d74-af8b-5b16a2b0ce64"/>
    <ds:schemaRef ds:uri="25a1a2df-33bc-4d16-874b-bf46a243b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6C339-4F59-4E40-953E-230FB65C26DA}">
  <ds:schemaRefs>
    <ds:schemaRef ds:uri="http://schemas.microsoft.com/sharepoint/v3/contenttype/forms"/>
  </ds:schemaRefs>
</ds:datastoreItem>
</file>

<file path=customXml/itemProps3.xml><?xml version="1.0" encoding="utf-8"?>
<ds:datastoreItem xmlns:ds="http://schemas.openxmlformats.org/officeDocument/2006/customXml" ds:itemID="{68F2178D-5D37-4F1E-BBB3-2B666220B6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753</Words>
  <Characters>4298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Lago Buliyar</dc:creator>
  <cp:keywords/>
  <dc:description/>
  <cp:lastModifiedBy>Anu Saxena</cp:lastModifiedBy>
  <cp:revision>2</cp:revision>
  <cp:lastPrinted>2020-03-09T21:18:00Z</cp:lastPrinted>
  <dcterms:created xsi:type="dcterms:W3CDTF">2020-03-10T15:50:00Z</dcterms:created>
  <dcterms:modified xsi:type="dcterms:W3CDTF">2020-03-10T15:50:00Z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0x01010091530F44CA15F64C8BBE25674DAF616E</vt:lpwstr>
  </property>
</Properties>
</file>